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11</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רשמת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גלי רון</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p w:rsidR="005F7919" w:rsidRDefault="00A07510">
            <w:pPr>
              <w:bidi w:val="0"/>
              <w:jc w:val="right"/>
              <w:rPr>
                <w:rFonts w:ascii="Arial" w:hAnsi="Arial"/>
                <w:b/>
                <w:bCs/>
                <w:noProof w:val="0"/>
                <w:sz w:val="26"/>
                <w:szCs w:val="26"/>
                <w:rtl/>
              </w:rPr>
            </w:pPr>
            <w:r>
              <w:rPr>
                <w:rFonts w:ascii="Arial" w:hAnsi="Arial" w:hint="cs"/>
                <w:b/>
                <w:bCs/>
                <w:noProof w:val="0"/>
                <w:sz w:val="26"/>
                <w:szCs w:val="26"/>
                <w:rtl/>
              </w:rPr>
              <w:t>המבקש:</w:t>
            </w:r>
          </w:p>
        </w:tc>
        <w:tc>
          <w:tcPr>
            <w:tcW w:w="5571" w:type="dxa"/>
            <w:gridSpan w:val="2"/>
          </w:tcPr>
          <w:p w:rsidR="002914D6" w:rsidRDefault="002914D6">
            <w:pPr>
              <w:rPr>
                <w:rFonts w:ascii="Arial" w:hAnsi="Arial"/>
                <w:b/>
                <w:bCs/>
                <w:noProof w:val="0"/>
                <w:sz w:val="26"/>
                <w:szCs w:val="26"/>
              </w:rPr>
            </w:pPr>
          </w:p>
          <w:p w:rsidR="002914D6" w:rsidRDefault="00D412B6" w:rsidP="00FD3BDD">
            <w:pPr>
              <w:rPr>
                <w:b/>
                <w:bCs/>
                <w:noProof w:val="0"/>
                <w:sz w:val="26"/>
                <w:szCs w:val="26"/>
              </w:rPr>
            </w:pPr>
            <w:r>
              <w:rPr>
                <w:rFonts w:ascii="Arial" w:hAnsi="Arial" w:hint="cs"/>
                <w:b/>
                <w:bCs/>
                <w:noProof w:val="0"/>
                <w:sz w:val="26"/>
                <w:szCs w:val="26"/>
                <w:rtl/>
              </w:rPr>
              <w:t xml:space="preserve">      </w:t>
            </w:r>
            <w:r w:rsidR="00FD3BDD">
              <w:rPr>
                <w:rFonts w:ascii="Arial" w:hAnsi="Arial" w:hint="cs"/>
                <w:b/>
                <w:bCs/>
                <w:noProof w:val="0"/>
                <w:sz w:val="26"/>
                <w:szCs w:val="26"/>
                <w:rtl/>
              </w:rPr>
              <w:t>אלמוני</w:t>
            </w:r>
            <w:r w:rsidR="00094813">
              <w:rPr>
                <w:rFonts w:ascii="Arial" w:hAnsi="Arial"/>
                <w:b/>
                <w:bCs/>
                <w:noProof w:val="0"/>
                <w:sz w:val="26"/>
                <w:szCs w:val="26"/>
                <w:rtl/>
              </w:rPr>
              <w:t xml:space="preserve"> </w:t>
            </w:r>
          </w:p>
        </w:tc>
      </w:tr>
      <w:tr w:rsidR="002914D6">
        <w:trPr>
          <w:jc w:val="center"/>
        </w:trPr>
        <w:tc>
          <w:tcPr>
            <w:tcW w:w="8820" w:type="dxa"/>
            <w:gridSpan w:val="4"/>
          </w:tcPr>
          <w:p w:rsidR="002914D6" w:rsidRDefault="002914D6">
            <w:pPr>
              <w:rPr>
                <w:rFonts w:ascii="Arial" w:hAnsi="Arial"/>
                <w:b/>
                <w:bCs/>
                <w:noProof w:val="0"/>
                <w:sz w:val="26"/>
                <w:szCs w:val="26"/>
                <w:rtl/>
              </w:rPr>
            </w:pPr>
          </w:p>
          <w:p w:rsidR="002914D6" w:rsidRDefault="00D412B6" w:rsidP="00D412B6">
            <w:pPr>
              <w:rPr>
                <w:rFonts w:ascii="Arial" w:hAnsi="Arial"/>
                <w:b/>
                <w:bCs/>
                <w:noProof w:val="0"/>
                <w:sz w:val="26"/>
                <w:szCs w:val="26"/>
                <w:rtl/>
              </w:rPr>
            </w:pPr>
            <w:r>
              <w:rPr>
                <w:rFonts w:ascii="Arial" w:hAnsi="Arial" w:hint="cs"/>
                <w:b/>
                <w:bCs/>
                <w:noProof w:val="0"/>
                <w:sz w:val="26"/>
                <w:szCs w:val="26"/>
                <w:rtl/>
              </w:rPr>
              <w:t xml:space="preserve">                                                                 </w:t>
            </w:r>
            <w:r w:rsidR="00011212">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30788A">
            <w:pPr>
              <w:rPr>
                <w:rFonts w:ascii="Arial" w:hAnsi="Arial"/>
                <w:b/>
                <w:bCs/>
                <w:noProof w:val="0"/>
                <w:sz w:val="26"/>
                <w:szCs w:val="26"/>
              </w:rPr>
            </w:pPr>
            <w:r>
              <w:rPr>
                <w:rFonts w:ascii="Arial" w:hAnsi="Arial" w:hint="cs"/>
                <w:b/>
                <w:bCs/>
                <w:noProof w:val="0"/>
                <w:sz w:val="26"/>
                <w:szCs w:val="26"/>
                <w:rtl/>
              </w:rPr>
              <w:t>ה</w:t>
            </w:r>
            <w:r w:rsidR="00094813">
              <w:rPr>
                <w:rFonts w:ascii="Arial" w:hAnsi="Arial"/>
                <w:b/>
                <w:bCs/>
                <w:noProof w:val="0"/>
                <w:sz w:val="26"/>
                <w:szCs w:val="26"/>
                <w:rtl/>
              </w:rPr>
              <w:t>משיבים</w:t>
            </w:r>
            <w:r>
              <w:rPr>
                <w:rFonts w:ascii="Arial" w:hAnsi="Arial" w:hint="cs"/>
                <w:b/>
                <w:bCs/>
                <w:noProof w:val="0"/>
                <w:sz w:val="26"/>
                <w:szCs w:val="26"/>
                <w:rtl/>
              </w:rPr>
              <w:t>:</w:t>
            </w:r>
          </w:p>
        </w:tc>
        <w:tc>
          <w:tcPr>
            <w:tcW w:w="5571" w:type="dxa"/>
            <w:gridSpan w:val="2"/>
          </w:tcPr>
          <w:p w:rsidR="00A07510" w:rsidRDefault="00FD3BDD" w:rsidP="0021196E">
            <w:pPr>
              <w:pStyle w:val="ac"/>
              <w:numPr>
                <w:ilvl w:val="0"/>
                <w:numId w:val="1"/>
              </w:numPr>
              <w:ind w:left="360"/>
              <w:rPr>
                <w:b/>
                <w:bCs/>
                <w:noProof w:val="0"/>
                <w:sz w:val="26"/>
                <w:szCs w:val="26"/>
              </w:rPr>
            </w:pPr>
            <w:r>
              <w:rPr>
                <w:rFonts w:hint="cs"/>
                <w:b/>
                <w:bCs/>
                <w:noProof w:val="0"/>
                <w:sz w:val="26"/>
                <w:szCs w:val="26"/>
                <w:rtl/>
              </w:rPr>
              <w:t>פלוני</w:t>
            </w:r>
          </w:p>
          <w:p w:rsidR="00A07510" w:rsidRPr="00A07510" w:rsidRDefault="00A07510" w:rsidP="0021196E">
            <w:pPr>
              <w:pStyle w:val="ac"/>
              <w:numPr>
                <w:ilvl w:val="0"/>
                <w:numId w:val="1"/>
              </w:numPr>
              <w:ind w:left="360"/>
              <w:rPr>
                <w:b/>
                <w:bCs/>
                <w:noProof w:val="0"/>
                <w:sz w:val="26"/>
                <w:szCs w:val="26"/>
                <w:rtl/>
              </w:rPr>
            </w:pPr>
            <w:r>
              <w:rPr>
                <w:rFonts w:hint="cs"/>
                <w:b/>
                <w:bCs/>
                <w:noProof w:val="0"/>
                <w:sz w:val="26"/>
                <w:szCs w:val="26"/>
                <w:rtl/>
              </w:rPr>
              <w:t>קרן</w:t>
            </w:r>
            <w:r w:rsidR="00D412B6">
              <w:rPr>
                <w:rFonts w:hint="cs"/>
                <w:b/>
                <w:bCs/>
                <w:noProof w:val="0"/>
                <w:sz w:val="26"/>
                <w:szCs w:val="26"/>
                <w:rtl/>
              </w:rPr>
              <w:t xml:space="preserve"> נאמנות</w:t>
            </w:r>
            <w:r w:rsidR="0021196E">
              <w:rPr>
                <w:rFonts w:hint="cs"/>
                <w:b/>
                <w:bCs/>
                <w:noProof w:val="0"/>
                <w:sz w:val="26"/>
                <w:szCs w:val="26"/>
                <w:rtl/>
              </w:rPr>
              <w:t xml:space="preserve"> </w:t>
            </w:r>
            <w:r w:rsidR="0021196E">
              <w:rPr>
                <w:rFonts w:hint="cs"/>
                <w:b/>
                <w:bCs/>
                <w:noProof w:val="0"/>
                <w:sz w:val="26"/>
                <w:szCs w:val="26"/>
              </w:rPr>
              <w:t>X</w:t>
            </w:r>
            <w:r w:rsidR="0021196E">
              <w:rPr>
                <w:rFonts w:hint="cs"/>
                <w:b/>
                <w:bCs/>
                <w:noProof w:val="0"/>
                <w:sz w:val="26"/>
                <w:szCs w:val="26"/>
                <w:rtl/>
              </w:rPr>
              <w:t xml:space="preserve"> </w:t>
            </w:r>
          </w:p>
        </w:tc>
      </w:tr>
    </w:tbl>
    <w:p w:rsidR="002914D6" w:rsidRDefault="002914D6"/>
    <w:p w:rsidR="002914D6" w:rsidRDefault="002914D6">
      <w:pPr>
        <w:rPr>
          <w:rtl/>
        </w:rPr>
      </w:pPr>
    </w:p>
    <w:p w:rsidR="00A20002" w:rsidRDefault="00A20002">
      <w:pPr>
        <w:rPr>
          <w:rtl/>
        </w:rPr>
      </w:pPr>
    </w:p>
    <w:p w:rsidR="00A20002" w:rsidRDefault="00A20002"/>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A07510" w:rsidRDefault="00A07510" w:rsidP="00A07510">
      <w:pPr>
        <w:spacing w:line="360" w:lineRule="auto"/>
        <w:ind w:left="720" w:hanging="720"/>
        <w:jc w:val="both"/>
        <w:rPr>
          <w:rFonts w:ascii="Arial" w:hAnsi="Arial"/>
        </w:rPr>
      </w:pPr>
      <w:r>
        <w:rPr>
          <w:rFonts w:ascii="Arial" w:hAnsi="Arial"/>
          <w:rtl/>
        </w:rPr>
        <w:t>1.</w:t>
      </w:r>
      <w:r>
        <w:rPr>
          <w:rFonts w:ascii="Arial" w:hAnsi="Arial"/>
          <w:rtl/>
        </w:rPr>
        <w:tab/>
        <w:t>החלטה זו עניינה בקשת המבקש להמרת עיקול.</w:t>
      </w:r>
    </w:p>
    <w:p w:rsidR="00A07510" w:rsidRDefault="00A07510" w:rsidP="00A07510">
      <w:pPr>
        <w:spacing w:line="360" w:lineRule="auto"/>
        <w:jc w:val="both"/>
        <w:rPr>
          <w:rFonts w:ascii="Arial" w:hAnsi="Arial"/>
          <w:rtl/>
        </w:rPr>
      </w:pPr>
    </w:p>
    <w:p w:rsidR="00A07510" w:rsidRDefault="00A07510" w:rsidP="00A07510">
      <w:pPr>
        <w:spacing w:line="360" w:lineRule="auto"/>
        <w:jc w:val="both"/>
        <w:rPr>
          <w:rFonts w:ascii="Arial" w:hAnsi="Arial"/>
          <w:rtl/>
        </w:rPr>
      </w:pPr>
      <w:r>
        <w:rPr>
          <w:rFonts w:ascii="Arial" w:hAnsi="Arial"/>
          <w:rtl/>
        </w:rPr>
        <w:t>2.</w:t>
      </w:r>
      <w:r>
        <w:rPr>
          <w:rFonts w:ascii="Arial" w:hAnsi="Arial"/>
          <w:rtl/>
        </w:rPr>
        <w:tab/>
      </w:r>
      <w:r>
        <w:rPr>
          <w:rFonts w:ascii="Arial" w:hAnsi="Arial"/>
          <w:b/>
          <w:bCs/>
          <w:u w:val="single"/>
          <w:rtl/>
        </w:rPr>
        <w:t>עיקרי העובדות</w:t>
      </w:r>
    </w:p>
    <w:p w:rsidR="00A07510" w:rsidRDefault="00A07510" w:rsidP="00A07510">
      <w:pPr>
        <w:spacing w:line="360" w:lineRule="auto"/>
        <w:jc w:val="both"/>
        <w:rPr>
          <w:rFonts w:ascii="Arial" w:hAnsi="Arial" w:cs="Miriam"/>
          <w:u w:val="single"/>
        </w:rPr>
      </w:pPr>
    </w:p>
    <w:p w:rsidR="00A07510" w:rsidRDefault="00A07510" w:rsidP="00A07510">
      <w:pPr>
        <w:spacing w:line="360" w:lineRule="auto"/>
        <w:ind w:left="1360" w:hanging="709"/>
        <w:jc w:val="both"/>
        <w:rPr>
          <w:rFonts w:ascii="David" w:hAnsi="David"/>
          <w:rtl/>
        </w:rPr>
      </w:pPr>
      <w:r>
        <w:rPr>
          <w:rFonts w:ascii="David" w:hAnsi="David"/>
          <w:rtl/>
        </w:rPr>
        <w:t>2.1</w:t>
      </w:r>
      <w:r>
        <w:rPr>
          <w:rFonts w:ascii="David" w:hAnsi="David"/>
          <w:rtl/>
        </w:rPr>
        <w:tab/>
        <w:t xml:space="preserve">המבקש והמשיב 1 (להלן: "המשיב") הם אחים. המשיבה 2 היא קרן נאמנות שמקום מושבה בארה"ב. </w:t>
      </w:r>
    </w:p>
    <w:p w:rsidR="00A07510" w:rsidRDefault="00A07510" w:rsidP="00A07510">
      <w:pPr>
        <w:spacing w:line="360" w:lineRule="auto"/>
        <w:ind w:left="1360" w:hanging="709"/>
        <w:jc w:val="both"/>
        <w:rPr>
          <w:rFonts w:ascii="David" w:hAnsi="David"/>
          <w:rtl/>
        </w:rPr>
      </w:pPr>
    </w:p>
    <w:p w:rsidR="00A07510" w:rsidRDefault="00A07510" w:rsidP="00A07510">
      <w:pPr>
        <w:spacing w:line="360" w:lineRule="auto"/>
        <w:ind w:left="1360" w:hanging="709"/>
        <w:jc w:val="both"/>
        <w:rPr>
          <w:rFonts w:ascii="David" w:hAnsi="David"/>
          <w:rtl/>
        </w:rPr>
      </w:pPr>
      <w:r>
        <w:rPr>
          <w:rFonts w:ascii="David" w:hAnsi="David"/>
          <w:rtl/>
        </w:rPr>
        <w:t>2.2</w:t>
      </w:r>
      <w:r>
        <w:rPr>
          <w:rFonts w:ascii="David" w:hAnsi="David"/>
          <w:rtl/>
        </w:rPr>
        <w:tab/>
        <w:t>בתיק זה תלויה ועומדת להכרעת בית המשפט תביעה כספית ע"ס 7,588,559 ₪ שהגישו המשיבים כנגד המבקש. יצוין, כי התביעה הוגשה במקור לביהמ"ש המחוזי כנגד המבקש ו- 4 נתבעים נוספים, כשביום 18.10.2022 ניתן פסק דין חלקי, לפיו אחת מהנתבעות נמחקה מכתב התביעה ואילו בעניינם של 3 נתבעים אחרים ניתן פסק דין חלקי הדוחה את התביעה נגדם.</w:t>
      </w:r>
    </w:p>
    <w:p w:rsidR="00A07510" w:rsidRDefault="00A07510" w:rsidP="00A07510">
      <w:pPr>
        <w:spacing w:line="360" w:lineRule="auto"/>
        <w:ind w:left="1360" w:hanging="709"/>
        <w:jc w:val="both"/>
        <w:rPr>
          <w:rFonts w:ascii="David" w:hAnsi="David"/>
          <w:rtl/>
        </w:rPr>
      </w:pPr>
    </w:p>
    <w:p w:rsidR="00A07510" w:rsidRDefault="00A07510" w:rsidP="0021196E">
      <w:pPr>
        <w:spacing w:line="360" w:lineRule="auto"/>
        <w:ind w:left="1360" w:hanging="709"/>
        <w:jc w:val="both"/>
        <w:rPr>
          <w:rFonts w:ascii="David" w:hAnsi="David"/>
          <w:rtl/>
        </w:rPr>
      </w:pPr>
      <w:r>
        <w:rPr>
          <w:rFonts w:ascii="David" w:hAnsi="David"/>
          <w:rtl/>
        </w:rPr>
        <w:t>2.3</w:t>
      </w:r>
      <w:r>
        <w:rPr>
          <w:rFonts w:ascii="David" w:hAnsi="David"/>
          <w:rtl/>
        </w:rPr>
        <w:tab/>
        <w:t xml:space="preserve">ביום 28.9.2022 הגישו המשיבים בקשה למתן צו עיקול על זכויות המבקש בדירה ברחוב </w:t>
      </w:r>
      <w:r w:rsidR="0021196E">
        <w:rPr>
          <w:rFonts w:ascii="David" w:hAnsi="David" w:hint="cs"/>
        </w:rPr>
        <w:t>Y</w:t>
      </w:r>
      <w:r w:rsidR="0021196E">
        <w:rPr>
          <w:rFonts w:ascii="David" w:hAnsi="David" w:hint="cs"/>
          <w:rtl/>
        </w:rPr>
        <w:t xml:space="preserve"> </w:t>
      </w:r>
      <w:r>
        <w:rPr>
          <w:rFonts w:ascii="David" w:hAnsi="David"/>
          <w:rtl/>
        </w:rPr>
        <w:t>ב</w:t>
      </w:r>
      <w:r w:rsidR="0021196E">
        <w:rPr>
          <w:rFonts w:ascii="David" w:hAnsi="David" w:hint="cs"/>
          <w:rtl/>
        </w:rPr>
        <w:t>עיר מ'</w:t>
      </w:r>
      <w:r>
        <w:rPr>
          <w:rFonts w:ascii="David" w:hAnsi="David"/>
          <w:rtl/>
        </w:rPr>
        <w:t xml:space="preserve"> או לחלופין לעיקול כספי מכר הדירה, וביום 3.10.2022 ניתנה החלטת כב' השופט </w:t>
      </w:r>
      <w:r w:rsidR="0021196E">
        <w:rPr>
          <w:rFonts w:ascii="David" w:hAnsi="David" w:hint="cs"/>
          <w:rtl/>
        </w:rPr>
        <w:t>יעקב</w:t>
      </w:r>
      <w:r>
        <w:rPr>
          <w:rFonts w:ascii="David" w:hAnsi="David"/>
          <w:rtl/>
        </w:rPr>
        <w:t xml:space="preserve"> שקד המורה על מתן צו עיקול על הכספים המגיעים למבקש מאת רוכשי דירה זו ועד לסכום התביעה. </w:t>
      </w:r>
    </w:p>
    <w:p w:rsidR="00A07510" w:rsidRDefault="00A07510" w:rsidP="00A07510">
      <w:pPr>
        <w:spacing w:line="360" w:lineRule="auto"/>
        <w:ind w:left="1360" w:hanging="709"/>
        <w:jc w:val="both"/>
        <w:rPr>
          <w:rFonts w:ascii="David" w:hAnsi="David"/>
          <w:rtl/>
        </w:rPr>
      </w:pPr>
    </w:p>
    <w:p w:rsidR="00A07510" w:rsidRDefault="00A07510" w:rsidP="0021196E">
      <w:pPr>
        <w:spacing w:line="360" w:lineRule="auto"/>
        <w:ind w:left="1360" w:hanging="709"/>
        <w:jc w:val="both"/>
        <w:rPr>
          <w:rtl/>
        </w:rPr>
      </w:pPr>
      <w:r>
        <w:rPr>
          <w:rFonts w:ascii="David" w:hAnsi="David"/>
          <w:rtl/>
        </w:rPr>
        <w:t>2.4</w:t>
      </w:r>
      <w:r>
        <w:rPr>
          <w:rFonts w:ascii="David" w:hAnsi="David"/>
          <w:rtl/>
        </w:rPr>
        <w:tab/>
        <w:t xml:space="preserve">ביום 18.10.2022 התקיים דיון בפני כב' השופט </w:t>
      </w:r>
      <w:r w:rsidR="0021196E">
        <w:rPr>
          <w:rFonts w:ascii="David" w:hAnsi="David" w:hint="cs"/>
          <w:rtl/>
        </w:rPr>
        <w:t>יעקב</w:t>
      </w:r>
      <w:r>
        <w:rPr>
          <w:rFonts w:ascii="David" w:hAnsi="David"/>
          <w:rtl/>
        </w:rPr>
        <w:t xml:space="preserve"> שקד, שבסיומו ניתן פסק דין חלקי, במסגרתו נקבע בין השאר כי משעה שהמבקש והמשיב הם אחים ובהינתן הנסיבות המשפחתיות, התביעה תועבר לבית משפט זה. יצוין כי במסגרת פסק הדין </w:t>
      </w:r>
      <w:r>
        <w:rPr>
          <w:rFonts w:ascii="David" w:hAnsi="David"/>
          <w:rtl/>
        </w:rPr>
        <w:lastRenderedPageBreak/>
        <w:t xml:space="preserve">החלקי ציין כב' השופט שקד כי המבקש </w:t>
      </w:r>
      <w:r>
        <w:rPr>
          <w:rtl/>
        </w:rPr>
        <w:t>לא הציג הגנה של ממש בכל הקשור לסעד הזמני שניתן כנגדו בדמות צו העיקול.</w:t>
      </w:r>
    </w:p>
    <w:p w:rsidR="00A07510" w:rsidRDefault="00A07510" w:rsidP="00A07510">
      <w:pPr>
        <w:spacing w:line="360" w:lineRule="auto"/>
        <w:ind w:left="1360" w:hanging="709"/>
        <w:jc w:val="both"/>
        <w:rPr>
          <w:rFonts w:ascii="David" w:hAnsi="David"/>
          <w:rtl/>
        </w:rPr>
      </w:pPr>
    </w:p>
    <w:p w:rsidR="00A07510" w:rsidRDefault="00A07510" w:rsidP="0021196E">
      <w:pPr>
        <w:spacing w:line="360" w:lineRule="auto"/>
        <w:ind w:left="1360" w:hanging="709"/>
        <w:jc w:val="both"/>
        <w:rPr>
          <w:rFonts w:ascii="David" w:hAnsi="David"/>
          <w:rtl/>
        </w:rPr>
      </w:pPr>
      <w:r>
        <w:rPr>
          <w:rFonts w:ascii="David" w:hAnsi="David"/>
          <w:rtl/>
        </w:rPr>
        <w:t>2.5</w:t>
      </w:r>
      <w:r>
        <w:rPr>
          <w:rFonts w:ascii="David" w:hAnsi="David"/>
          <w:rtl/>
        </w:rPr>
        <w:tab/>
        <w:t xml:space="preserve">ביום 23.10.2022 הגיש המבקש לבית משפט זה בקשה להמרת העיקול שהוטל על כספי מכר דירתו, כך שיוטל על זכויות אמם של הצדדים, הגב' </w:t>
      </w:r>
      <w:r w:rsidR="0021196E">
        <w:rPr>
          <w:rFonts w:ascii="David" w:hAnsi="David" w:hint="cs"/>
          <w:rtl/>
        </w:rPr>
        <w:t>ר.ס.</w:t>
      </w:r>
      <w:r>
        <w:rPr>
          <w:rFonts w:ascii="David" w:hAnsi="David"/>
          <w:rtl/>
        </w:rPr>
        <w:t xml:space="preserve"> (להלן: "אם המבקש") בבית המגורים ביישוב ר</w:t>
      </w:r>
      <w:r w:rsidR="0021196E">
        <w:rPr>
          <w:rFonts w:ascii="David" w:hAnsi="David" w:hint="cs"/>
          <w:rtl/>
        </w:rPr>
        <w:t>'</w:t>
      </w:r>
      <w:r>
        <w:rPr>
          <w:rFonts w:ascii="David" w:hAnsi="David"/>
          <w:rtl/>
        </w:rPr>
        <w:t xml:space="preserve"> (להלן: "בית האם"). ביום 31.10.2022 הגישו המשיבים את תגובתם לבקשה, שבה הביעו את התנגדותם לבקשה. ביום 9.11.2022 הגיש המבקש את תגובתו לתגובת המשיבים, שבה חזר על בקשתו להמרת העיקול.</w:t>
      </w:r>
    </w:p>
    <w:p w:rsidR="00A07510" w:rsidRDefault="00A07510" w:rsidP="00A07510">
      <w:pPr>
        <w:spacing w:line="360" w:lineRule="auto"/>
        <w:ind w:left="1360" w:hanging="709"/>
        <w:jc w:val="both"/>
        <w:rPr>
          <w:rFonts w:ascii="David" w:hAnsi="David"/>
          <w:rtl/>
        </w:rPr>
      </w:pPr>
    </w:p>
    <w:p w:rsidR="00A07510" w:rsidRDefault="00A07510" w:rsidP="00A07510">
      <w:pPr>
        <w:spacing w:line="360" w:lineRule="auto"/>
        <w:ind w:left="1360" w:hanging="709"/>
        <w:jc w:val="both"/>
        <w:rPr>
          <w:rFonts w:ascii="David" w:hAnsi="David"/>
          <w:rtl/>
        </w:rPr>
      </w:pPr>
      <w:r>
        <w:rPr>
          <w:rFonts w:ascii="David" w:hAnsi="David"/>
          <w:rtl/>
        </w:rPr>
        <w:t>2.6</w:t>
      </w:r>
      <w:r>
        <w:rPr>
          <w:rFonts w:ascii="David" w:hAnsi="David"/>
          <w:rtl/>
        </w:rPr>
        <w:tab/>
        <w:t xml:space="preserve">במסגרת ההליכים הנוגעים לבקשה להמרת העיקול, ביקשו המשיבים לקבל מסמכים אודות מצבו הכלכלי של המבקש, ובהמשך לכך ניתנה החלטתי מיום 27.11.2022 הקובעת כי אין צורך בקבלת מסמכים בדבר מצבו הכלכלי של המבקש והוצאותיו, משעה שיש לבחון בהליך זה האם הבטוחה המוצעת טובה דיה. כן נקבע באותה החלטה, כי על הצדדים להודיע האם הם מסכימים שההחלטה בבקשה תינתן על בסיס כתבי הטענות וסיכומים בכתב, ללא צורך בקיומו של דיון. </w:t>
      </w:r>
    </w:p>
    <w:p w:rsidR="00A07510" w:rsidRDefault="00A07510" w:rsidP="00A07510">
      <w:pPr>
        <w:spacing w:line="360" w:lineRule="auto"/>
        <w:ind w:left="1360" w:hanging="709"/>
        <w:jc w:val="both"/>
        <w:rPr>
          <w:rFonts w:ascii="David" w:hAnsi="David"/>
          <w:rtl/>
        </w:rPr>
      </w:pPr>
    </w:p>
    <w:p w:rsidR="00A07510" w:rsidRDefault="00A07510" w:rsidP="00A07510">
      <w:pPr>
        <w:spacing w:line="360" w:lineRule="auto"/>
        <w:ind w:left="1360" w:hanging="709"/>
        <w:jc w:val="both"/>
        <w:rPr>
          <w:rFonts w:ascii="David" w:hAnsi="David"/>
          <w:rtl/>
        </w:rPr>
      </w:pPr>
      <w:r>
        <w:rPr>
          <w:rFonts w:ascii="David" w:hAnsi="David"/>
          <w:rtl/>
        </w:rPr>
        <w:t>2.7</w:t>
      </w:r>
      <w:r>
        <w:rPr>
          <w:rFonts w:ascii="David" w:hAnsi="David"/>
          <w:rtl/>
        </w:rPr>
        <w:tab/>
        <w:t>הצדדים הודיעו על הסכמתם לאמור לעיל, ומשהוגשו סיכומי הצדדים בכתב,  ניתנת החלטה זו.</w:t>
      </w:r>
    </w:p>
    <w:p w:rsidR="00A07510" w:rsidRDefault="00A07510" w:rsidP="00A07510">
      <w:pPr>
        <w:spacing w:line="360" w:lineRule="auto"/>
        <w:ind w:left="1360" w:hanging="709"/>
        <w:jc w:val="both"/>
        <w:rPr>
          <w:rFonts w:ascii="David" w:hAnsi="David"/>
          <w:rtl/>
        </w:rPr>
      </w:pPr>
    </w:p>
    <w:p w:rsidR="00A07510" w:rsidRDefault="00A07510" w:rsidP="00A07510">
      <w:pPr>
        <w:spacing w:line="360" w:lineRule="auto"/>
        <w:ind w:left="702" w:hanging="709"/>
        <w:jc w:val="both"/>
        <w:rPr>
          <w:rFonts w:ascii="David" w:hAnsi="David"/>
          <w:rtl/>
        </w:rPr>
      </w:pPr>
      <w:r>
        <w:rPr>
          <w:rFonts w:ascii="David" w:hAnsi="David"/>
          <w:rtl/>
        </w:rPr>
        <w:t>3.</w:t>
      </w:r>
      <w:r>
        <w:rPr>
          <w:rFonts w:ascii="David" w:hAnsi="David"/>
          <w:rtl/>
        </w:rPr>
        <w:tab/>
      </w:r>
      <w:r>
        <w:rPr>
          <w:rFonts w:ascii="David" w:hAnsi="David"/>
          <w:b/>
          <w:bCs/>
          <w:u w:val="single"/>
          <w:rtl/>
        </w:rPr>
        <w:t>טענות הצדדים</w:t>
      </w:r>
    </w:p>
    <w:p w:rsidR="00A07510" w:rsidRDefault="00A07510" w:rsidP="00A07510">
      <w:pPr>
        <w:spacing w:line="360" w:lineRule="auto"/>
        <w:ind w:left="1360" w:hanging="709"/>
        <w:jc w:val="both"/>
        <w:rPr>
          <w:rFonts w:ascii="David" w:hAnsi="David"/>
          <w:rtl/>
        </w:rPr>
      </w:pPr>
    </w:p>
    <w:p w:rsidR="00A07510" w:rsidRDefault="00A07510" w:rsidP="00A07510">
      <w:pPr>
        <w:spacing w:line="360" w:lineRule="auto"/>
        <w:ind w:left="1410" w:hanging="709"/>
        <w:jc w:val="both"/>
        <w:rPr>
          <w:rFonts w:ascii="Arial" w:hAnsi="Arial"/>
          <w:rtl/>
        </w:rPr>
      </w:pPr>
      <w:r>
        <w:rPr>
          <w:rFonts w:ascii="Arial" w:hAnsi="Arial"/>
          <w:rtl/>
        </w:rPr>
        <w:t>3.1</w:t>
      </w:r>
      <w:r>
        <w:rPr>
          <w:rFonts w:ascii="Arial" w:hAnsi="Arial"/>
          <w:rtl/>
        </w:rPr>
        <w:tab/>
        <w:t>פירוט טענות המבקש:</w:t>
      </w:r>
    </w:p>
    <w:p w:rsidR="00A07510" w:rsidRDefault="00A07510" w:rsidP="00A07510">
      <w:pPr>
        <w:spacing w:line="360" w:lineRule="auto"/>
        <w:ind w:left="2119" w:hanging="709"/>
        <w:jc w:val="both"/>
        <w:rPr>
          <w:rFonts w:ascii="Arial" w:hAnsi="Arial"/>
          <w:rtl/>
        </w:rPr>
      </w:pPr>
    </w:p>
    <w:p w:rsidR="00A07510" w:rsidRDefault="00A07510" w:rsidP="00A07510">
      <w:pPr>
        <w:spacing w:line="360" w:lineRule="auto"/>
        <w:ind w:left="2119" w:hanging="709"/>
        <w:jc w:val="both"/>
        <w:rPr>
          <w:rFonts w:ascii="Arial" w:hAnsi="Arial"/>
          <w:rtl/>
        </w:rPr>
      </w:pPr>
      <w:r>
        <w:rPr>
          <w:rFonts w:ascii="Arial" w:hAnsi="Arial"/>
          <w:rtl/>
        </w:rPr>
        <w:t>3.1.1</w:t>
      </w:r>
      <w:r>
        <w:rPr>
          <w:rFonts w:ascii="Arial" w:hAnsi="Arial"/>
          <w:rtl/>
        </w:rPr>
        <w:tab/>
        <w:t>תביעת המשיבים טרם החלה להתברר וסיכוייה להתקבל קלושים.</w:t>
      </w:r>
    </w:p>
    <w:p w:rsidR="00A07510" w:rsidRDefault="00A07510" w:rsidP="00A07510">
      <w:pPr>
        <w:spacing w:line="360" w:lineRule="auto"/>
        <w:ind w:left="2119" w:hanging="709"/>
        <w:jc w:val="both"/>
        <w:rPr>
          <w:rFonts w:ascii="Arial" w:hAnsi="Arial"/>
          <w:rtl/>
        </w:rPr>
      </w:pPr>
    </w:p>
    <w:p w:rsidR="00A07510" w:rsidRDefault="00A07510" w:rsidP="00A07510">
      <w:pPr>
        <w:spacing w:line="360" w:lineRule="auto"/>
        <w:ind w:left="2119" w:hanging="709"/>
        <w:jc w:val="both"/>
        <w:rPr>
          <w:rFonts w:ascii="Arial" w:hAnsi="Arial"/>
          <w:rtl/>
        </w:rPr>
      </w:pPr>
      <w:r>
        <w:rPr>
          <w:rFonts w:ascii="Arial" w:hAnsi="Arial"/>
          <w:rtl/>
        </w:rPr>
        <w:t>3.1.2</w:t>
      </w:r>
      <w:r>
        <w:rPr>
          <w:rFonts w:ascii="Arial" w:hAnsi="Arial"/>
          <w:rtl/>
        </w:rPr>
        <w:tab/>
        <w:t xml:space="preserve">הכספים שעוקלו בסך של 1,767,000 ₪ הם כספים החיוניים למבקש הדרושים לו לצורך נשיאה בהוצאות שוטפות, ובכלל זאת: תשלום מזונות ומימון הוצאות בנו בעל הצרכים המיוחדים, ולצורך עמידה בתחייבויות כספיות שנטל המבקש וכדי להימנע מקנסות והפרת חוזה. </w:t>
      </w:r>
    </w:p>
    <w:p w:rsidR="00A07510" w:rsidRDefault="00A07510" w:rsidP="00A07510">
      <w:pPr>
        <w:spacing w:line="360" w:lineRule="auto"/>
        <w:ind w:left="2119" w:hanging="709"/>
        <w:jc w:val="both"/>
        <w:rPr>
          <w:rFonts w:ascii="Arial" w:hAnsi="Arial"/>
          <w:rtl/>
        </w:rPr>
      </w:pPr>
    </w:p>
    <w:p w:rsidR="00A07510" w:rsidRDefault="00A07510" w:rsidP="0021196E">
      <w:pPr>
        <w:spacing w:line="360" w:lineRule="auto"/>
        <w:ind w:left="2119" w:hanging="709"/>
        <w:jc w:val="both"/>
        <w:rPr>
          <w:rFonts w:ascii="Arial" w:hAnsi="Arial"/>
          <w:rtl/>
        </w:rPr>
      </w:pPr>
      <w:r>
        <w:rPr>
          <w:rFonts w:ascii="Arial" w:hAnsi="Arial"/>
          <w:rtl/>
        </w:rPr>
        <w:t>3.1.3</w:t>
      </w:r>
      <w:r>
        <w:rPr>
          <w:rFonts w:ascii="Arial" w:hAnsi="Arial"/>
          <w:rtl/>
        </w:rPr>
        <w:tab/>
        <w:t>אם המבקש הביעה את הסכמתה כי הבית שבבעלותה ביישוב ר</w:t>
      </w:r>
      <w:r w:rsidR="0021196E">
        <w:rPr>
          <w:rFonts w:ascii="Arial" w:hAnsi="Arial" w:hint="cs"/>
          <w:rtl/>
        </w:rPr>
        <w:t>'</w:t>
      </w:r>
      <w:r>
        <w:rPr>
          <w:rFonts w:ascii="Arial" w:hAnsi="Arial"/>
          <w:rtl/>
        </w:rPr>
        <w:t xml:space="preserve"> ישמש כבטוחה חלופית ועד לסכום העיקול, עובדה העולה מתצהיר שעליו חתמה. אם המבקש, אשר מתגוררת בארה"ב, נמצאת בימים אלה בישראל וזמינה לכל פעולה הנדרשת ממנה לצורך המרת העיקול. </w:t>
      </w:r>
    </w:p>
    <w:p w:rsidR="00A07510" w:rsidRDefault="00A07510" w:rsidP="00A07510">
      <w:pPr>
        <w:spacing w:line="360" w:lineRule="auto"/>
        <w:ind w:left="2119" w:hanging="709"/>
        <w:jc w:val="both"/>
        <w:rPr>
          <w:rFonts w:ascii="Arial" w:hAnsi="Arial"/>
          <w:rtl/>
        </w:rPr>
      </w:pPr>
    </w:p>
    <w:p w:rsidR="00A07510" w:rsidRDefault="00A07510" w:rsidP="00A07510">
      <w:pPr>
        <w:spacing w:line="360" w:lineRule="auto"/>
        <w:ind w:left="2119" w:hanging="709"/>
        <w:jc w:val="both"/>
        <w:rPr>
          <w:rFonts w:ascii="David" w:hAnsi="David"/>
          <w:rtl/>
        </w:rPr>
      </w:pPr>
      <w:r>
        <w:rPr>
          <w:rFonts w:ascii="Arial" w:hAnsi="Arial"/>
          <w:rtl/>
        </w:rPr>
        <w:lastRenderedPageBreak/>
        <w:t>3.1.4</w:t>
      </w:r>
      <w:r>
        <w:rPr>
          <w:rFonts w:ascii="Arial" w:hAnsi="Arial"/>
          <w:rtl/>
        </w:rPr>
        <w:tab/>
      </w:r>
      <w:r>
        <w:rPr>
          <w:rFonts w:ascii="David" w:hAnsi="David"/>
          <w:rtl/>
        </w:rPr>
        <w:t>הסעד שהתבקש ע"י המשיבים מלכתחילה הוא מתן צו עיקול על זכויות המבקש בדירתו, בעוד שעיקול הכספים התבקש רק כסעד חילופי. לכן, אין כל הצדקה להתנגדות המשיבים להמרת העיקול – התנגדות חסרת תום לב הנובעת מטעמים נקמניים ומרדיפת המבקש.</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3.1.5</w:t>
      </w:r>
      <w:r>
        <w:rPr>
          <w:rFonts w:ascii="David" w:hAnsi="David"/>
          <w:rtl/>
        </w:rPr>
        <w:tab/>
        <w:t xml:space="preserve">אין לתובע זכות מוקנית להקפיא דווקא נכס פלוני שעיקל, ככל שמובאת בפניו חלופה טובה אחרת. במקרה זה, העיקול על כספי המבקש פוגע אנושות בקניינו של המבקש ויש לנקוט בסעד אחר, שפגיעתו במבקש קלה יותר. </w:t>
      </w:r>
      <w:r>
        <w:rPr>
          <w:rFonts w:ascii="Arial" w:hAnsi="Arial"/>
          <w:rtl/>
        </w:rPr>
        <w:t>המרת העיקול והטלתו על בית אם המבקש תקנה למשיבים בטוחה טובה ומספקת.</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3.1.6</w:t>
      </w:r>
      <w:r>
        <w:rPr>
          <w:rFonts w:ascii="David" w:hAnsi="David"/>
          <w:rtl/>
        </w:rPr>
        <w:tab/>
        <w:t>המבקש אינו עותר לביטול העיקול, אלא להמרתו, כך שהעיקול על הכספים יוסר רק לאחר רישום העיקול על בית אמו.</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3.1.7</w:t>
      </w:r>
      <w:r>
        <w:rPr>
          <w:rFonts w:ascii="David" w:hAnsi="David"/>
          <w:rtl/>
        </w:rPr>
        <w:tab/>
        <w:t xml:space="preserve">על בית האם אומנם רובצת משכנתא בסך של 4,350,000 ₪, אולם שווי בית האם על פי חוות דעת שמאי עומד על כ- 12 מיליון ₪, ודי בכך לכסות את סכום העיקול. </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3.1.8</w:t>
      </w:r>
      <w:r>
        <w:rPr>
          <w:rFonts w:ascii="David" w:hAnsi="David"/>
          <w:rtl/>
        </w:rPr>
        <w:tab/>
        <w:t xml:space="preserve">אין כל צורך בהסכמת הבנק לצורך הטלת העיקול על בית האם, וממילא שגם הבנק אינו יכול לסרב להטלת עיקול זה לנוכח שווי הבית. </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3.1.9</w:t>
      </w:r>
      <w:r>
        <w:rPr>
          <w:rFonts w:ascii="David" w:hAnsi="David"/>
          <w:rtl/>
        </w:rPr>
        <w:tab/>
        <w:t>טענותיהם האישיות של המשיבים כנגד המבקש נועדו אך להכפיש את שמו וטענתם כי ככל שיומר העיקול, המבקש ינסה לעכב את מימוש הנכס, היא טענה ספקולטיבית וחסרת כל בסיס.</w:t>
      </w:r>
    </w:p>
    <w:p w:rsidR="00A07510" w:rsidRDefault="00A07510" w:rsidP="00A07510">
      <w:pPr>
        <w:spacing w:line="360" w:lineRule="auto"/>
        <w:ind w:left="2119" w:hanging="709"/>
        <w:jc w:val="both"/>
        <w:rPr>
          <w:rFonts w:ascii="David" w:hAnsi="David"/>
          <w:rtl/>
        </w:rPr>
      </w:pPr>
    </w:p>
    <w:p w:rsidR="00A07510" w:rsidRDefault="00A07510" w:rsidP="0021196E">
      <w:pPr>
        <w:spacing w:line="360" w:lineRule="auto"/>
        <w:ind w:left="2119" w:hanging="709"/>
        <w:jc w:val="both"/>
        <w:rPr>
          <w:rFonts w:ascii="David" w:hAnsi="David"/>
          <w:rtl/>
        </w:rPr>
      </w:pPr>
      <w:r>
        <w:rPr>
          <w:rFonts w:ascii="David" w:hAnsi="David"/>
          <w:rtl/>
        </w:rPr>
        <w:t>3.1.10</w:t>
      </w:r>
      <w:r>
        <w:rPr>
          <w:rFonts w:ascii="David" w:hAnsi="David"/>
          <w:rtl/>
        </w:rPr>
        <w:tab/>
        <w:t>נסיבות המקרה דנא מצדיקות מתן החלטה בדבר המרת העיקול מכספי מכר הדירה לעיקול על זכויות אם המבקש בביתה ועד לגובה סכום העיקול.</w:t>
      </w:r>
    </w:p>
    <w:p w:rsidR="00A07510" w:rsidRDefault="00A07510" w:rsidP="00A07510">
      <w:pPr>
        <w:spacing w:line="360" w:lineRule="auto"/>
        <w:ind w:left="2828" w:hanging="709"/>
        <w:jc w:val="both"/>
        <w:rPr>
          <w:rFonts w:ascii="David" w:hAnsi="David"/>
          <w:rtl/>
        </w:rPr>
      </w:pPr>
    </w:p>
    <w:p w:rsidR="00A07510" w:rsidRDefault="00A07510" w:rsidP="00A07510">
      <w:pPr>
        <w:spacing w:line="360" w:lineRule="auto"/>
        <w:ind w:left="1410" w:hanging="709"/>
        <w:jc w:val="both"/>
        <w:rPr>
          <w:rFonts w:ascii="Arial" w:hAnsi="Arial"/>
          <w:rtl/>
        </w:rPr>
      </w:pPr>
      <w:r>
        <w:rPr>
          <w:rFonts w:ascii="Arial" w:hAnsi="Arial"/>
          <w:rtl/>
        </w:rPr>
        <w:t>3.2</w:t>
      </w:r>
      <w:r>
        <w:rPr>
          <w:rFonts w:ascii="Arial" w:hAnsi="Arial"/>
          <w:rtl/>
        </w:rPr>
        <w:tab/>
        <w:t>פירוט טענות המשיבים:</w:t>
      </w:r>
    </w:p>
    <w:p w:rsidR="00A07510" w:rsidRDefault="00A07510" w:rsidP="00A07510">
      <w:pPr>
        <w:spacing w:line="360" w:lineRule="auto"/>
        <w:ind w:left="1360"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3.2.1</w:t>
      </w:r>
      <w:r>
        <w:rPr>
          <w:rFonts w:ascii="David" w:hAnsi="David"/>
          <w:rtl/>
        </w:rPr>
        <w:tab/>
        <w:t xml:space="preserve">המדובר בתביעה בעלת סיכויים טובים להתקבל. עניינה של התביעה בהפרת התחייבותו של המבקש לשלם למשיבים את תשלומי ההלוואה שנטל והפרתו את התחייבותו לרשום משכנתא לטובתם על דירתו. המבקש פעל למכירת דירה זו ועל כן נאלצו המשיבים להגיש נגדו תביעה ולעתור למתן צו מניעה האוסר על מכירת הדירה ובבקשה לעיקול כספי התמורה. העובדה כי </w:t>
      </w:r>
      <w:r>
        <w:rPr>
          <w:rFonts w:ascii="David" w:hAnsi="David"/>
          <w:rtl/>
        </w:rPr>
        <w:lastRenderedPageBreak/>
        <w:t>התביעה טרם החלה להתברר אינה צריכה להוות שיקול לעניין המרת העיקול.</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3.2.2</w:t>
      </w:r>
      <w:r>
        <w:rPr>
          <w:rFonts w:ascii="David" w:hAnsi="David"/>
          <w:rtl/>
        </w:rPr>
        <w:tab/>
        <w:t xml:space="preserve">הבטוחה המוצעת פחות טובה מזו הנוכחית, שכן צו העיקול הוטל על כספי מכר הדירה בסך של 1,767,000 ₪ בעוד שהמבקש מבקש להמיר את העיקול לנכס מקרקעין, שכלל אינו בבעלותו – אלא בבעלות אימו - נכס המשועבד לבנק מזרחי טפחות בסכום של 4,350,000 ₪, כשלא ברורה היתרה העדכנית לסילוק.  אין כל וודאות לכך שהיתרה שתיוותר במימוש מהיר של נכס זה, עליו יועמסו הוצאות כינוס, יהיה בה די לצורך פרעון החוב שחב המבקש כלפי המשיבים. מעבר לכך, מימוש נכס זה צפוי להימשך זמן רב ולהביא את המשיבים ליריבות מול צדדים שלישיים, ובכלל זאת, אם המבקש והבנק למשכנתאות. </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3.2.3</w:t>
      </w:r>
      <w:r>
        <w:rPr>
          <w:rFonts w:ascii="David" w:hAnsi="David"/>
          <w:rtl/>
        </w:rPr>
        <w:tab/>
        <w:t xml:space="preserve">המבקש לא הביא לידיעת האם, שהינה אישה כבת 81 המתגוררת בפלורידה, את  העובדה כי בית המשפט בפנסילבניה נתן צו המורה למבקש להעביר את כלל כספי התמורה שיקבל ממכירת הדירה לחשבון נאמנות וכי הסכמתה להמרת העיקול היא נותנת יד להפרת צו זה. כשנודע על כך לאם היא חזרה בה מההסכמה שנתנה, וראייה לך ניתן למצוא במכתבה של האם, נספח 2 לתגובת המשיבים. </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3.2.4</w:t>
      </w:r>
      <w:r>
        <w:rPr>
          <w:rFonts w:ascii="David" w:hAnsi="David"/>
          <w:rtl/>
        </w:rPr>
        <w:tab/>
        <w:t xml:space="preserve">האם אומנם חזרה בה מהתנגדותה להטלת העיקול על ביתה, אולם הסכמתה לכך מוטלת בספק, ובפרט שהתצהיר שעליו חתמה אינו ערוך כדין, כיוון שנחתם בעת שהותה בחו"ל ולא אומת בפני הקונסול הישראלי. </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3.2.5</w:t>
      </w:r>
      <w:r>
        <w:rPr>
          <w:rFonts w:ascii="David" w:hAnsi="David"/>
          <w:rtl/>
        </w:rPr>
        <w:tab/>
        <w:t>הסכמת האם להטלת העיקול אינה מהווה הסכמה למימוש הנכס. אם המבקש צפויה להתנגד למימוש הנכס. למיטב ידיעת המשיבים, המבקש מתגורר עם ילדיו בנכס זה בעת שהותו בישראל, דבר שיקשה אף הוא על מימוש נכס זה.</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3.2.6</w:t>
      </w:r>
      <w:r>
        <w:rPr>
          <w:rFonts w:ascii="David" w:hAnsi="David"/>
          <w:rtl/>
        </w:rPr>
        <w:tab/>
        <w:t>המבקש לא צירף לבקשתו כל אסמכתה המעידה על כך שהכספים המעוקלים דרושים לצרכיו השוטפים וכדי להראות מהם צרכיו השוטפים. המבקש כבר קיבל לידיו כמיליון ₪ בגין מכר הדירה ודי בכך למימון הוצאותיו השוטפות.</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3.2.7</w:t>
      </w:r>
      <w:r>
        <w:rPr>
          <w:rFonts w:ascii="David" w:hAnsi="David"/>
          <w:rtl/>
        </w:rPr>
        <w:tab/>
        <w:t xml:space="preserve">כנגד המבקש אישומים פליליים בארה"ב, ובכלל זאת בגין גניבה, זיוף מרמה וכו', והוא אף נעצר עקב כך. די באישומים אלה כדי לדחות את בקשתו, שהרי </w:t>
      </w:r>
      <w:r>
        <w:rPr>
          <w:rFonts w:ascii="David" w:hAnsi="David"/>
          <w:rtl/>
        </w:rPr>
        <w:lastRenderedPageBreak/>
        <w:t>לא יהיה די בבטוחה החלופית המוצעת על מנת שהמשיבים יוכלו להיפרע ממנה. יתרה מזו, המבקש אינו ממלא אחר החלטות שיפוטיות ולכן למשיבים יש חשש מוצק כי יגיע היום שבו הם יאלצו לממש את העיקול.</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3.2.8</w:t>
      </w:r>
      <w:r>
        <w:rPr>
          <w:rFonts w:ascii="David" w:hAnsi="David"/>
          <w:rtl/>
        </w:rPr>
        <w:tab/>
        <w:t xml:space="preserve">לא הובאה הסכמת הבנק הממשכן להמרת העיקול. הסכמה זו נחוצה היות שיש בהמרת הערובה כדי לפגוע בבטוחה של הבנק. </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3.2.9</w:t>
      </w:r>
      <w:r>
        <w:rPr>
          <w:rFonts w:ascii="David" w:hAnsi="David"/>
          <w:rtl/>
        </w:rPr>
        <w:tab/>
        <w:t>המבקש מיתמם כאשר הוא טוען כי בקשתו היא כי כספי העיקול יועברו לרשותו רק לאחר שיוטל העיקול על בית האם, משום שהוא מתעלם לחלוטין מהבעייתיות הכרוכה במימוש העיקול על הבית והקשיים הצפויים למשיבים עקב כך.</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2119" w:hanging="709"/>
        <w:jc w:val="both"/>
        <w:rPr>
          <w:rFonts w:ascii="David" w:hAnsi="David"/>
          <w:rtl/>
        </w:rPr>
      </w:pPr>
      <w:r>
        <w:rPr>
          <w:rFonts w:ascii="David" w:hAnsi="David"/>
          <w:rtl/>
        </w:rPr>
        <w:t>3.2.10</w:t>
      </w:r>
      <w:r>
        <w:rPr>
          <w:rFonts w:ascii="David" w:hAnsi="David"/>
          <w:rtl/>
        </w:rPr>
        <w:tab/>
        <w:t>במקרה דנא לא מתקיימים התנאים המצדיקים את המרת העיקול, נוכח כך שהמבקש מבקש להמיר עיקול על כספים בעיקול על נכס מקרקעין שאינו בבעלותו ואשר ממושכן לטובת הבנק.</w:t>
      </w:r>
    </w:p>
    <w:p w:rsidR="00A07510" w:rsidRDefault="00A07510" w:rsidP="00A07510">
      <w:pPr>
        <w:spacing w:line="360" w:lineRule="auto"/>
        <w:ind w:left="2119" w:hanging="709"/>
        <w:jc w:val="both"/>
        <w:rPr>
          <w:rFonts w:ascii="David" w:hAnsi="David"/>
          <w:rtl/>
        </w:rPr>
      </w:pPr>
    </w:p>
    <w:p w:rsidR="00A07510" w:rsidRDefault="00A07510" w:rsidP="00A07510">
      <w:pPr>
        <w:spacing w:line="360" w:lineRule="auto"/>
        <w:ind w:left="651" w:hanging="567"/>
        <w:jc w:val="both"/>
        <w:rPr>
          <w:rFonts w:ascii="Arial" w:hAnsi="Arial"/>
          <w:rtl/>
        </w:rPr>
      </w:pPr>
      <w:r>
        <w:rPr>
          <w:rFonts w:ascii="Arial" w:hAnsi="Arial"/>
          <w:rtl/>
        </w:rPr>
        <w:t>4.</w:t>
      </w:r>
      <w:r>
        <w:rPr>
          <w:rFonts w:ascii="Arial" w:hAnsi="Arial"/>
          <w:rtl/>
        </w:rPr>
        <w:tab/>
      </w:r>
      <w:r>
        <w:rPr>
          <w:rFonts w:ascii="Arial" w:hAnsi="Arial"/>
          <w:b/>
          <w:bCs/>
          <w:u w:val="single"/>
          <w:rtl/>
        </w:rPr>
        <w:t>דיון והכרעה</w:t>
      </w:r>
    </w:p>
    <w:p w:rsidR="00A07510" w:rsidRDefault="00A07510" w:rsidP="00A07510">
      <w:pPr>
        <w:spacing w:line="360" w:lineRule="auto"/>
        <w:jc w:val="both"/>
        <w:rPr>
          <w:rFonts w:ascii="Arial" w:hAnsi="Arial"/>
          <w:rtl/>
        </w:rPr>
      </w:pPr>
    </w:p>
    <w:p w:rsidR="00A07510" w:rsidRDefault="00A07510" w:rsidP="00A07510">
      <w:pPr>
        <w:spacing w:line="360" w:lineRule="auto"/>
        <w:ind w:left="1269" w:hanging="709"/>
        <w:jc w:val="both"/>
        <w:rPr>
          <w:rFonts w:ascii="David" w:hAnsi="David"/>
          <w:rtl/>
        </w:rPr>
      </w:pPr>
      <w:r>
        <w:rPr>
          <w:rFonts w:ascii="David" w:hAnsi="David"/>
          <w:rtl/>
        </w:rPr>
        <w:t>4.1</w:t>
      </w:r>
      <w:r>
        <w:rPr>
          <w:rFonts w:ascii="David" w:hAnsi="David"/>
          <w:rtl/>
        </w:rPr>
        <w:tab/>
        <w:t>עיקול זמני נועד להקפיא נכסים של הנתבע עד למתן פסק דין, כך שאם יזכה התובע בתביעתו, יוכל להיפרע מתוך נכסי הנתבע שעוקלו. תכלית העיקול אינה להוות אמצעי לחץ על הנתבע. לפיכך, על דרך הכלל, אין לתובע בתביעה כספית זכות</w:t>
      </w:r>
      <w:r>
        <w:rPr>
          <w:rFonts w:ascii="David" w:hAnsi="David"/>
        </w:rPr>
        <w:t xml:space="preserve"> </w:t>
      </w:r>
      <w:r>
        <w:rPr>
          <w:rFonts w:ascii="David" w:hAnsi="David"/>
          <w:rtl/>
        </w:rPr>
        <w:t>קנויה</w:t>
      </w:r>
      <w:r>
        <w:rPr>
          <w:rFonts w:ascii="David" w:hAnsi="David"/>
        </w:rPr>
        <w:t xml:space="preserve"> </w:t>
      </w:r>
      <w:r>
        <w:rPr>
          <w:rFonts w:ascii="David" w:hAnsi="David"/>
          <w:rtl/>
        </w:rPr>
        <w:t>לעיקול</w:t>
      </w:r>
      <w:r>
        <w:rPr>
          <w:rFonts w:ascii="David" w:hAnsi="David"/>
        </w:rPr>
        <w:t xml:space="preserve"> </w:t>
      </w:r>
      <w:r>
        <w:rPr>
          <w:rFonts w:ascii="David" w:hAnsi="David"/>
          <w:rtl/>
        </w:rPr>
        <w:t>זמני</w:t>
      </w:r>
      <w:r>
        <w:rPr>
          <w:rFonts w:ascii="David" w:hAnsi="David"/>
        </w:rPr>
        <w:t xml:space="preserve"> </w:t>
      </w:r>
      <w:r>
        <w:rPr>
          <w:rFonts w:ascii="David" w:hAnsi="David"/>
          <w:rtl/>
        </w:rPr>
        <w:t>של</w:t>
      </w:r>
      <w:r>
        <w:rPr>
          <w:rFonts w:ascii="David" w:hAnsi="David"/>
        </w:rPr>
        <w:t xml:space="preserve"> </w:t>
      </w:r>
      <w:r>
        <w:rPr>
          <w:rFonts w:ascii="David" w:hAnsi="David"/>
          <w:rtl/>
        </w:rPr>
        <w:t>נכס</w:t>
      </w:r>
      <w:r>
        <w:rPr>
          <w:rFonts w:ascii="David" w:hAnsi="David"/>
        </w:rPr>
        <w:t xml:space="preserve"> </w:t>
      </w:r>
      <w:r>
        <w:rPr>
          <w:rFonts w:ascii="David" w:hAnsi="David"/>
          <w:rtl/>
        </w:rPr>
        <w:t xml:space="preserve">מסוים של הנתבע ולבית המשפט נתונה הסמכות להמיר את הנכס המעוקל בנכס אחר. לעניין זה רא' </w:t>
      </w:r>
      <w:r>
        <w:rPr>
          <w:rFonts w:ascii="David" w:eastAsia="Calibri" w:hAnsi="David"/>
          <w:noProof w:val="0"/>
          <w:rtl/>
        </w:rPr>
        <w:t xml:space="preserve">רע"א 1554/16 </w:t>
      </w:r>
      <w:r>
        <w:rPr>
          <w:rFonts w:ascii="David" w:eastAsia="Calibri" w:hAnsi="David"/>
          <w:b/>
          <w:bCs/>
          <w:noProof w:val="0"/>
          <w:rtl/>
        </w:rPr>
        <w:t>י.ש. אבן ישראל בע"מ נ' שולמן</w:t>
      </w:r>
      <w:r>
        <w:rPr>
          <w:rFonts w:ascii="David" w:eastAsia="Calibri" w:hAnsi="David"/>
          <w:noProof w:val="0"/>
          <w:rtl/>
        </w:rPr>
        <w:t>, פורסם בנבו (5.6.2016).</w:t>
      </w:r>
      <w:r>
        <w:rPr>
          <w:rFonts w:ascii="David" w:hAnsi="David"/>
          <w:rtl/>
        </w:rPr>
        <w:t xml:space="preserve"> כמו כן, רא' דברי השופט לנדוי בבערעור</w:t>
      </w:r>
      <w:r>
        <w:rPr>
          <w:rFonts w:ascii="David" w:hAnsi="David"/>
        </w:rPr>
        <w:t xml:space="preserve"> </w:t>
      </w:r>
      <w:r>
        <w:rPr>
          <w:rFonts w:ascii="David" w:hAnsi="David"/>
          <w:rtl/>
        </w:rPr>
        <w:t>אזרחי</w:t>
      </w:r>
      <w:r>
        <w:rPr>
          <w:rFonts w:ascii="David" w:hAnsi="David"/>
        </w:rPr>
        <w:t xml:space="preserve"> </w:t>
      </w:r>
      <w:r>
        <w:rPr>
          <w:rFonts w:ascii="David" w:hAnsi="David"/>
          <w:rtl/>
        </w:rPr>
        <w:t xml:space="preserve">ע"א 96/60 </w:t>
      </w:r>
      <w:r>
        <w:rPr>
          <w:rFonts w:ascii="David" w:hAnsi="David"/>
          <w:b/>
          <w:bCs/>
          <w:rtl/>
        </w:rPr>
        <w:t>״היוגב״</w:t>
      </w:r>
      <w:r>
        <w:rPr>
          <w:rFonts w:ascii="David" w:hAnsi="David"/>
          <w:b/>
          <w:bCs/>
        </w:rPr>
        <w:t xml:space="preserve"> </w:t>
      </w:r>
      <w:r>
        <w:rPr>
          <w:rFonts w:ascii="David" w:hAnsi="David"/>
          <w:b/>
          <w:bCs/>
          <w:rtl/>
        </w:rPr>
        <w:t>ארגון</w:t>
      </w:r>
      <w:r>
        <w:rPr>
          <w:rFonts w:ascii="David" w:hAnsi="David"/>
          <w:b/>
          <w:bCs/>
        </w:rPr>
        <w:t xml:space="preserve"> </w:t>
      </w:r>
      <w:r>
        <w:rPr>
          <w:rFonts w:ascii="David" w:hAnsi="David"/>
          <w:b/>
          <w:bCs/>
          <w:rtl/>
        </w:rPr>
        <w:t>פועלים</w:t>
      </w:r>
      <w:r>
        <w:rPr>
          <w:rFonts w:ascii="David" w:hAnsi="David"/>
          <w:b/>
          <w:bCs/>
        </w:rPr>
        <w:t xml:space="preserve"> </w:t>
      </w:r>
      <w:r>
        <w:rPr>
          <w:rFonts w:ascii="David" w:hAnsi="David"/>
          <w:b/>
          <w:bCs/>
          <w:rtl/>
        </w:rPr>
        <w:t>להתישבות</w:t>
      </w:r>
      <w:r>
        <w:rPr>
          <w:rFonts w:ascii="David" w:hAnsi="David"/>
          <w:b/>
          <w:bCs/>
        </w:rPr>
        <w:t xml:space="preserve"> </w:t>
      </w:r>
      <w:r>
        <w:rPr>
          <w:rFonts w:ascii="David" w:hAnsi="David"/>
          <w:b/>
          <w:bCs/>
          <w:rtl/>
        </w:rPr>
        <w:t>שיתופית</w:t>
      </w:r>
      <w:r>
        <w:rPr>
          <w:rFonts w:ascii="David" w:hAnsi="David"/>
          <w:b/>
          <w:bCs/>
        </w:rPr>
        <w:t xml:space="preserve"> </w:t>
      </w:r>
      <w:r>
        <w:rPr>
          <w:rFonts w:ascii="David" w:hAnsi="David"/>
          <w:b/>
          <w:bCs/>
          <w:rtl/>
        </w:rPr>
        <w:t>בע״מ</w:t>
      </w:r>
      <w:r>
        <w:rPr>
          <w:rFonts w:ascii="David" w:hAnsi="David"/>
          <w:b/>
          <w:bCs/>
        </w:rPr>
        <w:t xml:space="preserve"> </w:t>
      </w:r>
      <w:r>
        <w:rPr>
          <w:rFonts w:ascii="David" w:hAnsi="David"/>
          <w:b/>
          <w:bCs/>
          <w:rtl/>
        </w:rPr>
        <w:t>נ'</w:t>
      </w:r>
      <w:r>
        <w:rPr>
          <w:rFonts w:ascii="David" w:hAnsi="David"/>
          <w:b/>
          <w:bCs/>
        </w:rPr>
        <w:t xml:space="preserve"> </w:t>
      </w:r>
      <w:r>
        <w:rPr>
          <w:rFonts w:ascii="David" w:hAnsi="David"/>
          <w:b/>
          <w:bCs/>
          <w:rtl/>
        </w:rPr>
        <w:t>מיכאלו־יצחק</w:t>
      </w:r>
      <w:r>
        <w:rPr>
          <w:rFonts w:ascii="David" w:hAnsi="David"/>
          <w:b/>
          <w:bCs/>
        </w:rPr>
        <w:t xml:space="preserve"> </w:t>
      </w:r>
      <w:r>
        <w:rPr>
          <w:rFonts w:ascii="David" w:hAnsi="David"/>
          <w:b/>
          <w:bCs/>
          <w:rtl/>
        </w:rPr>
        <w:t>גרינברג</w:t>
      </w:r>
      <w:r>
        <w:rPr>
          <w:rFonts w:ascii="David" w:hAnsi="David"/>
          <w:rtl/>
        </w:rPr>
        <w:t>, פורסם בנבו (28.7.1960):</w:t>
      </w:r>
    </w:p>
    <w:p w:rsidR="00A07510" w:rsidRDefault="00A07510" w:rsidP="00A07510">
      <w:pPr>
        <w:spacing w:line="360" w:lineRule="auto"/>
        <w:ind w:left="560" w:right="709"/>
        <w:jc w:val="both"/>
        <w:rPr>
          <w:rFonts w:ascii="David" w:hAnsi="David"/>
          <w:rtl/>
        </w:rPr>
      </w:pPr>
    </w:p>
    <w:p w:rsidR="00A07510" w:rsidRDefault="00A07510" w:rsidP="00A07510">
      <w:pPr>
        <w:spacing w:line="360" w:lineRule="auto"/>
        <w:ind w:left="1977" w:right="709"/>
        <w:jc w:val="both"/>
        <w:rPr>
          <w:rFonts w:ascii="David" w:hAnsi="David"/>
          <w:b/>
          <w:bCs/>
        </w:rPr>
      </w:pPr>
      <w:r>
        <w:rPr>
          <w:rFonts w:ascii="David" w:hAnsi="David"/>
          <w:b/>
          <w:bCs/>
        </w:rPr>
        <w:t>"</w:t>
      </w:r>
      <w:r>
        <w:rPr>
          <w:rFonts w:ascii="David" w:hAnsi="David"/>
          <w:b/>
          <w:bCs/>
          <w:rtl/>
        </w:rPr>
        <w:t>מטרת</w:t>
      </w:r>
      <w:r>
        <w:rPr>
          <w:rFonts w:ascii="David" w:hAnsi="David"/>
          <w:b/>
          <w:bCs/>
        </w:rPr>
        <w:t xml:space="preserve"> </w:t>
      </w:r>
      <w:r>
        <w:rPr>
          <w:rFonts w:ascii="David" w:hAnsi="David"/>
          <w:b/>
          <w:bCs/>
          <w:rtl/>
        </w:rPr>
        <w:t>העיקול</w:t>
      </w:r>
      <w:r>
        <w:rPr>
          <w:rFonts w:ascii="David" w:hAnsi="David"/>
          <w:b/>
          <w:bCs/>
        </w:rPr>
        <w:t xml:space="preserve"> </w:t>
      </w:r>
      <w:r>
        <w:rPr>
          <w:rFonts w:ascii="David" w:hAnsi="David"/>
          <w:b/>
          <w:bCs/>
          <w:rtl/>
        </w:rPr>
        <w:t>הזמני</w:t>
      </w:r>
      <w:r>
        <w:rPr>
          <w:rFonts w:ascii="David" w:hAnsi="David"/>
          <w:b/>
          <w:bCs/>
        </w:rPr>
        <w:t xml:space="preserve"> </w:t>
      </w:r>
      <w:r>
        <w:rPr>
          <w:rFonts w:ascii="David" w:hAnsi="David"/>
          <w:b/>
          <w:bCs/>
          <w:rtl/>
        </w:rPr>
        <w:t>היא להקפיא</w:t>
      </w:r>
      <w:r>
        <w:rPr>
          <w:rFonts w:ascii="David" w:hAnsi="David"/>
          <w:b/>
          <w:bCs/>
        </w:rPr>
        <w:t xml:space="preserve"> </w:t>
      </w:r>
      <w:r>
        <w:rPr>
          <w:rFonts w:ascii="David" w:hAnsi="David"/>
          <w:b/>
          <w:bCs/>
          <w:rtl/>
        </w:rPr>
        <w:t>נכסים</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החייב</w:t>
      </w:r>
      <w:r>
        <w:rPr>
          <w:rFonts w:ascii="David" w:hAnsi="David"/>
          <w:b/>
          <w:bCs/>
        </w:rPr>
        <w:t xml:space="preserve"> </w:t>
      </w:r>
      <w:r>
        <w:rPr>
          <w:rFonts w:ascii="David" w:hAnsi="David"/>
          <w:b/>
          <w:bCs/>
          <w:rtl/>
        </w:rPr>
        <w:t>עד</w:t>
      </w:r>
      <w:r>
        <w:rPr>
          <w:rFonts w:ascii="David" w:hAnsi="David"/>
          <w:b/>
          <w:bCs/>
        </w:rPr>
        <w:t xml:space="preserve"> </w:t>
      </w:r>
      <w:r>
        <w:rPr>
          <w:rFonts w:ascii="David" w:hAnsi="David"/>
          <w:b/>
          <w:bCs/>
          <w:rtl/>
        </w:rPr>
        <w:t>למתן</w:t>
      </w:r>
      <w:r>
        <w:rPr>
          <w:rFonts w:ascii="David" w:hAnsi="David"/>
          <w:b/>
          <w:bCs/>
        </w:rPr>
        <w:t xml:space="preserve"> </w:t>
      </w:r>
      <w:r>
        <w:rPr>
          <w:rFonts w:ascii="David" w:hAnsi="David"/>
          <w:b/>
          <w:bCs/>
          <w:rtl/>
        </w:rPr>
        <w:t>פסקיהדין,</w:t>
      </w:r>
      <w:r>
        <w:rPr>
          <w:rFonts w:ascii="David" w:hAnsi="David"/>
          <w:b/>
          <w:bCs/>
        </w:rPr>
        <w:t xml:space="preserve"> </w:t>
      </w:r>
      <w:r>
        <w:rPr>
          <w:rFonts w:ascii="David" w:hAnsi="David"/>
          <w:b/>
          <w:bCs/>
          <w:rtl/>
        </w:rPr>
        <w:t>אם</w:t>
      </w:r>
      <w:r>
        <w:rPr>
          <w:rFonts w:ascii="David" w:hAnsi="David"/>
          <w:b/>
          <w:bCs/>
        </w:rPr>
        <w:t xml:space="preserve"> </w:t>
      </w:r>
      <w:r>
        <w:rPr>
          <w:rFonts w:ascii="David" w:hAnsi="David"/>
          <w:b/>
          <w:bCs/>
          <w:rtl/>
        </w:rPr>
        <w:t>ובאשר</w:t>
      </w:r>
      <w:r>
        <w:rPr>
          <w:rFonts w:ascii="David" w:hAnsi="David"/>
          <w:b/>
          <w:bCs/>
        </w:rPr>
        <w:t xml:space="preserve"> </w:t>
      </w:r>
      <w:r>
        <w:rPr>
          <w:rFonts w:ascii="David" w:hAnsi="David"/>
          <w:b/>
          <w:bCs/>
          <w:rtl/>
        </w:rPr>
        <w:t>יצא</w:t>
      </w:r>
      <w:r>
        <w:rPr>
          <w:rFonts w:ascii="David" w:hAnsi="David"/>
          <w:b/>
          <w:bCs/>
        </w:rPr>
        <w:t xml:space="preserve"> </w:t>
      </w:r>
      <w:r>
        <w:rPr>
          <w:rFonts w:ascii="David" w:hAnsi="David"/>
          <w:b/>
          <w:bCs/>
          <w:rtl/>
        </w:rPr>
        <w:t>פסק־דין</w:t>
      </w:r>
      <w:r>
        <w:rPr>
          <w:rFonts w:ascii="David" w:hAnsi="David"/>
          <w:b/>
          <w:bCs/>
        </w:rPr>
        <w:t xml:space="preserve"> </w:t>
      </w:r>
      <w:r>
        <w:rPr>
          <w:rFonts w:ascii="David" w:hAnsi="David"/>
          <w:b/>
          <w:bCs/>
          <w:rtl/>
        </w:rPr>
        <w:t>לחובת</w:t>
      </w:r>
      <w:r>
        <w:rPr>
          <w:rFonts w:ascii="David" w:hAnsi="David"/>
          <w:b/>
          <w:bCs/>
        </w:rPr>
        <w:t xml:space="preserve"> </w:t>
      </w:r>
      <w:r>
        <w:rPr>
          <w:rFonts w:ascii="David" w:hAnsi="David"/>
          <w:b/>
          <w:bCs/>
          <w:rtl/>
        </w:rPr>
        <w:t>הנתבע</w:t>
      </w:r>
      <w:r>
        <w:rPr>
          <w:rFonts w:ascii="David" w:hAnsi="David"/>
          <w:b/>
          <w:bCs/>
        </w:rPr>
        <w:t>,</w:t>
      </w:r>
      <w:r>
        <w:rPr>
          <w:rFonts w:ascii="David" w:hAnsi="David"/>
          <w:b/>
          <w:bCs/>
          <w:rtl/>
        </w:rPr>
        <w:t xml:space="preserve"> ענינו</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התובע</w:t>
      </w:r>
      <w:r>
        <w:rPr>
          <w:rFonts w:ascii="David" w:hAnsi="David"/>
          <w:b/>
          <w:bCs/>
        </w:rPr>
        <w:t xml:space="preserve"> </w:t>
      </w:r>
      <w:r>
        <w:rPr>
          <w:rFonts w:ascii="David" w:hAnsi="David"/>
          <w:b/>
          <w:bCs/>
          <w:rtl/>
        </w:rPr>
        <w:t>הוא</w:t>
      </w:r>
      <w:r>
        <w:rPr>
          <w:rFonts w:ascii="David" w:hAnsi="David"/>
          <w:b/>
          <w:bCs/>
        </w:rPr>
        <w:t xml:space="preserve"> </w:t>
      </w:r>
      <w:r>
        <w:rPr>
          <w:rFonts w:ascii="David" w:hAnsi="David"/>
          <w:b/>
          <w:bCs/>
          <w:rtl/>
        </w:rPr>
        <w:t>רק</w:t>
      </w:r>
      <w:r>
        <w:rPr>
          <w:rFonts w:ascii="David" w:hAnsi="David"/>
          <w:b/>
          <w:bCs/>
        </w:rPr>
        <w:t xml:space="preserve"> </w:t>
      </w:r>
      <w:r>
        <w:rPr>
          <w:rFonts w:ascii="David" w:hAnsi="David"/>
          <w:b/>
          <w:bCs/>
          <w:rtl/>
        </w:rPr>
        <w:t>בכך</w:t>
      </w:r>
      <w:r>
        <w:rPr>
          <w:rFonts w:ascii="David" w:hAnsi="David"/>
          <w:b/>
          <w:bCs/>
        </w:rPr>
        <w:t xml:space="preserve">, </w:t>
      </w:r>
      <w:r>
        <w:rPr>
          <w:rFonts w:ascii="David" w:hAnsi="David"/>
          <w:b/>
          <w:bCs/>
          <w:rtl/>
        </w:rPr>
        <w:t>שתעוקל</w:t>
      </w:r>
      <w:r>
        <w:rPr>
          <w:rFonts w:ascii="David" w:hAnsi="David"/>
          <w:b/>
          <w:bCs/>
        </w:rPr>
        <w:t xml:space="preserve"> </w:t>
      </w:r>
      <w:r>
        <w:rPr>
          <w:rFonts w:ascii="David" w:hAnsi="David"/>
          <w:b/>
          <w:bCs/>
          <w:rtl/>
        </w:rPr>
        <w:t>זמנית</w:t>
      </w:r>
      <w:r>
        <w:rPr>
          <w:rFonts w:ascii="David" w:hAnsi="David"/>
          <w:b/>
          <w:bCs/>
        </w:rPr>
        <w:t xml:space="preserve"> </w:t>
      </w:r>
      <w:r>
        <w:rPr>
          <w:rFonts w:ascii="David" w:hAnsi="David"/>
          <w:b/>
          <w:bCs/>
          <w:rtl/>
        </w:rPr>
        <w:t>כמות</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נכסים</w:t>
      </w:r>
      <w:r>
        <w:rPr>
          <w:rFonts w:ascii="David" w:hAnsi="David"/>
          <w:b/>
          <w:bCs/>
        </w:rPr>
        <w:t xml:space="preserve"> </w:t>
      </w:r>
      <w:r>
        <w:rPr>
          <w:rFonts w:ascii="David" w:hAnsi="David"/>
          <w:b/>
          <w:bCs/>
          <w:rtl/>
        </w:rPr>
        <w:t>כדי</w:t>
      </w:r>
      <w:r>
        <w:rPr>
          <w:rFonts w:ascii="David" w:hAnsi="David"/>
          <w:b/>
          <w:bCs/>
        </w:rPr>
        <w:t xml:space="preserve"> </w:t>
      </w:r>
      <w:r>
        <w:rPr>
          <w:rFonts w:ascii="David" w:hAnsi="David"/>
          <w:b/>
          <w:bCs/>
          <w:rtl/>
        </w:rPr>
        <w:t>סיפוק</w:t>
      </w:r>
      <w:r>
        <w:rPr>
          <w:rFonts w:ascii="David" w:hAnsi="David"/>
          <w:b/>
          <w:bCs/>
        </w:rPr>
        <w:t xml:space="preserve"> </w:t>
      </w:r>
      <w:r>
        <w:rPr>
          <w:rFonts w:ascii="David" w:hAnsi="David"/>
          <w:b/>
          <w:bCs/>
          <w:rtl/>
        </w:rPr>
        <w:t>חוב</w:t>
      </w:r>
      <w:r>
        <w:rPr>
          <w:rFonts w:ascii="David" w:hAnsi="David"/>
          <w:b/>
          <w:bCs/>
        </w:rPr>
        <w:t xml:space="preserve"> </w:t>
      </w:r>
      <w:r>
        <w:rPr>
          <w:rFonts w:ascii="David" w:hAnsi="David"/>
          <w:b/>
          <w:bCs/>
          <w:rtl/>
        </w:rPr>
        <w:t>פסק־הדין העשוי</w:t>
      </w:r>
      <w:r>
        <w:rPr>
          <w:rFonts w:ascii="David" w:hAnsi="David"/>
          <w:b/>
          <w:bCs/>
        </w:rPr>
        <w:t xml:space="preserve"> </w:t>
      </w:r>
      <w:r>
        <w:rPr>
          <w:rFonts w:ascii="David" w:hAnsi="David"/>
          <w:b/>
          <w:bCs/>
          <w:rtl/>
        </w:rPr>
        <w:t>להינתן,</w:t>
      </w:r>
      <w:r>
        <w:rPr>
          <w:rFonts w:ascii="David" w:hAnsi="David"/>
          <w:b/>
          <w:bCs/>
        </w:rPr>
        <w:t xml:space="preserve"> </w:t>
      </w:r>
      <w:r>
        <w:rPr>
          <w:rFonts w:ascii="David" w:hAnsi="David"/>
          <w:b/>
          <w:bCs/>
          <w:rtl/>
        </w:rPr>
        <w:t>ואין</w:t>
      </w:r>
      <w:r>
        <w:rPr>
          <w:rFonts w:ascii="David" w:hAnsi="David"/>
          <w:b/>
          <w:bCs/>
        </w:rPr>
        <w:t xml:space="preserve"> </w:t>
      </w:r>
      <w:r>
        <w:rPr>
          <w:rFonts w:ascii="David" w:hAnsi="David"/>
          <w:b/>
          <w:bCs/>
          <w:rtl/>
        </w:rPr>
        <w:t>לו</w:t>
      </w:r>
      <w:r>
        <w:rPr>
          <w:rFonts w:ascii="David" w:hAnsi="David"/>
          <w:b/>
          <w:bCs/>
        </w:rPr>
        <w:t xml:space="preserve"> </w:t>
      </w:r>
      <w:r>
        <w:rPr>
          <w:rFonts w:ascii="David" w:hAnsi="David"/>
          <w:b/>
          <w:bCs/>
          <w:rtl/>
        </w:rPr>
        <w:t>זכות</w:t>
      </w:r>
      <w:r>
        <w:rPr>
          <w:rFonts w:ascii="David" w:hAnsi="David"/>
          <w:b/>
          <w:bCs/>
        </w:rPr>
        <w:t xml:space="preserve"> </w:t>
      </w:r>
      <w:r>
        <w:rPr>
          <w:rFonts w:ascii="David" w:hAnsi="David"/>
          <w:b/>
          <w:bCs/>
          <w:rtl/>
        </w:rPr>
        <w:t>קנויה</w:t>
      </w:r>
      <w:r>
        <w:rPr>
          <w:rFonts w:ascii="David" w:hAnsi="David"/>
          <w:b/>
          <w:bCs/>
        </w:rPr>
        <w:t xml:space="preserve"> </w:t>
      </w:r>
      <w:r>
        <w:rPr>
          <w:rFonts w:ascii="David" w:hAnsi="David"/>
          <w:b/>
          <w:bCs/>
          <w:rtl/>
        </w:rPr>
        <w:t>לעיקול</w:t>
      </w:r>
      <w:r>
        <w:rPr>
          <w:rFonts w:ascii="David" w:hAnsi="David"/>
          <w:b/>
          <w:bCs/>
        </w:rPr>
        <w:t xml:space="preserve"> </w:t>
      </w:r>
      <w:r>
        <w:rPr>
          <w:rFonts w:ascii="David" w:hAnsi="David"/>
          <w:b/>
          <w:bCs/>
          <w:rtl/>
        </w:rPr>
        <w:t>זמני</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נכס</w:t>
      </w:r>
      <w:r>
        <w:rPr>
          <w:rFonts w:ascii="David" w:hAnsi="David"/>
          <w:b/>
          <w:bCs/>
        </w:rPr>
        <w:t xml:space="preserve"> </w:t>
      </w:r>
      <w:r>
        <w:rPr>
          <w:rFonts w:ascii="David" w:hAnsi="David"/>
          <w:b/>
          <w:bCs/>
          <w:rtl/>
        </w:rPr>
        <w:t>מסויים</w:t>
      </w:r>
      <w:r>
        <w:rPr>
          <w:rFonts w:ascii="David" w:hAnsi="David"/>
          <w:b/>
          <w:bCs/>
        </w:rPr>
        <w:t xml:space="preserve"> </w:t>
      </w:r>
      <w:r>
        <w:rPr>
          <w:rFonts w:ascii="David" w:hAnsi="David"/>
          <w:b/>
          <w:bCs/>
          <w:rtl/>
        </w:rPr>
        <w:t>דוקא</w:t>
      </w:r>
      <w:r>
        <w:rPr>
          <w:rFonts w:ascii="David" w:hAnsi="David"/>
          <w:b/>
          <w:bCs/>
        </w:rPr>
        <w:t xml:space="preserve">. </w:t>
      </w:r>
      <w:r>
        <w:rPr>
          <w:rFonts w:ascii="David" w:hAnsi="David"/>
          <w:b/>
          <w:bCs/>
          <w:rtl/>
        </w:rPr>
        <w:t>מכאן</w:t>
      </w:r>
      <w:r>
        <w:rPr>
          <w:rFonts w:ascii="David" w:hAnsi="David"/>
          <w:b/>
          <w:bCs/>
        </w:rPr>
        <w:t xml:space="preserve"> </w:t>
      </w:r>
      <w:r>
        <w:rPr>
          <w:rFonts w:ascii="David" w:hAnsi="David"/>
          <w:b/>
          <w:bCs/>
          <w:rtl/>
        </w:rPr>
        <w:t>שהשופט מוסמך</w:t>
      </w:r>
      <w:r>
        <w:rPr>
          <w:rFonts w:ascii="David" w:hAnsi="David"/>
          <w:b/>
          <w:bCs/>
        </w:rPr>
        <w:t xml:space="preserve"> </w:t>
      </w:r>
      <w:r>
        <w:rPr>
          <w:rFonts w:ascii="David" w:hAnsi="David"/>
          <w:b/>
          <w:bCs/>
          <w:rtl/>
        </w:rPr>
        <w:t>להמיר</w:t>
      </w:r>
      <w:r>
        <w:rPr>
          <w:rFonts w:ascii="David" w:hAnsi="David"/>
          <w:b/>
          <w:bCs/>
        </w:rPr>
        <w:t xml:space="preserve"> </w:t>
      </w:r>
      <w:r>
        <w:rPr>
          <w:rFonts w:ascii="David" w:hAnsi="David"/>
          <w:b/>
          <w:bCs/>
          <w:rtl/>
        </w:rPr>
        <w:t>נכס</w:t>
      </w:r>
      <w:r>
        <w:rPr>
          <w:rFonts w:ascii="David" w:hAnsi="David"/>
          <w:b/>
          <w:bCs/>
        </w:rPr>
        <w:t xml:space="preserve"> </w:t>
      </w:r>
      <w:r>
        <w:rPr>
          <w:rFonts w:ascii="David" w:hAnsi="David"/>
          <w:b/>
          <w:bCs/>
          <w:rtl/>
        </w:rPr>
        <w:t>בנכס</w:t>
      </w:r>
      <w:r>
        <w:rPr>
          <w:rFonts w:ascii="David" w:hAnsi="David"/>
          <w:b/>
          <w:bCs/>
        </w:rPr>
        <w:t xml:space="preserve"> </w:t>
      </w:r>
      <w:r>
        <w:rPr>
          <w:rFonts w:ascii="David" w:hAnsi="David"/>
          <w:b/>
          <w:bCs/>
          <w:rtl/>
        </w:rPr>
        <w:t>לצרכי</w:t>
      </w:r>
      <w:r>
        <w:rPr>
          <w:rFonts w:ascii="David" w:hAnsi="David"/>
          <w:b/>
          <w:bCs/>
        </w:rPr>
        <w:t xml:space="preserve"> </w:t>
      </w:r>
      <w:r>
        <w:rPr>
          <w:rFonts w:ascii="David" w:hAnsi="David"/>
          <w:b/>
          <w:bCs/>
          <w:rtl/>
        </w:rPr>
        <w:t>העיקול</w:t>
      </w:r>
      <w:r>
        <w:rPr>
          <w:rFonts w:ascii="David" w:hAnsi="David"/>
          <w:b/>
          <w:bCs/>
        </w:rPr>
        <w:t xml:space="preserve"> </w:t>
      </w:r>
      <w:r>
        <w:rPr>
          <w:rFonts w:ascii="David" w:hAnsi="David"/>
          <w:b/>
          <w:bCs/>
          <w:rtl/>
        </w:rPr>
        <w:t>הזמני"</w:t>
      </w:r>
      <w:r>
        <w:rPr>
          <w:rFonts w:ascii="David" w:hAnsi="David"/>
          <w:b/>
          <w:bCs/>
        </w:rPr>
        <w:t>.</w:t>
      </w:r>
    </w:p>
    <w:p w:rsidR="00A07510" w:rsidRDefault="00A07510" w:rsidP="00A07510">
      <w:pPr>
        <w:spacing w:line="360" w:lineRule="auto"/>
        <w:ind w:left="1269" w:hanging="709"/>
        <w:jc w:val="both"/>
        <w:rPr>
          <w:rFonts w:ascii="David" w:hAnsi="David"/>
          <w:rtl/>
        </w:rPr>
      </w:pPr>
    </w:p>
    <w:p w:rsidR="00A07510" w:rsidRDefault="00A07510" w:rsidP="00A07510">
      <w:pPr>
        <w:spacing w:line="360" w:lineRule="auto"/>
        <w:ind w:left="1269" w:hanging="709"/>
        <w:jc w:val="both"/>
        <w:rPr>
          <w:rFonts w:ascii="David" w:hAnsi="David"/>
          <w:rtl/>
        </w:rPr>
      </w:pPr>
      <w:r>
        <w:rPr>
          <w:rFonts w:ascii="David" w:hAnsi="David"/>
          <w:rtl/>
        </w:rPr>
        <w:lastRenderedPageBreak/>
        <w:t>4.2</w:t>
      </w:r>
      <w:r>
        <w:rPr>
          <w:rFonts w:ascii="David" w:hAnsi="David"/>
          <w:rtl/>
        </w:rPr>
        <w:tab/>
        <w:t xml:space="preserve">הזכות להמרת הנכס המעוקל אינה חלה כאשר העיקול ניתן בתביעת דבר שבעין, שהרי אז בית המשפט רשאי לצוות אך ורק על עיקול הנכס הנתבע עצמו. רא' תקנה 103(א) לתקנות סדר הדין האזרחי, תשע"ט-2018. </w:t>
      </w:r>
    </w:p>
    <w:p w:rsidR="00A07510" w:rsidRDefault="00A07510" w:rsidP="00A07510">
      <w:pPr>
        <w:spacing w:line="360" w:lineRule="auto"/>
        <w:ind w:left="1269" w:hanging="709"/>
        <w:jc w:val="both"/>
        <w:rPr>
          <w:rFonts w:ascii="David" w:hAnsi="David"/>
          <w:rtl/>
        </w:rPr>
      </w:pPr>
    </w:p>
    <w:p w:rsidR="00A07510" w:rsidRDefault="00A07510" w:rsidP="00DE5D8D">
      <w:pPr>
        <w:spacing w:line="360" w:lineRule="auto"/>
        <w:ind w:left="1269" w:hanging="709"/>
        <w:jc w:val="both"/>
        <w:rPr>
          <w:rFonts w:ascii="David" w:hAnsi="David"/>
          <w:noProof w:val="0"/>
          <w:rtl/>
        </w:rPr>
      </w:pPr>
      <w:r>
        <w:rPr>
          <w:rFonts w:ascii="David" w:hAnsi="David"/>
          <w:rtl/>
        </w:rPr>
        <w:t>4.3</w:t>
      </w:r>
      <w:r>
        <w:rPr>
          <w:rFonts w:ascii="David" w:hAnsi="David"/>
          <w:rtl/>
        </w:rPr>
        <w:tab/>
      </w:r>
      <w:r>
        <w:rPr>
          <w:rFonts w:ascii="David" w:hAnsi="David"/>
          <w:noProof w:val="0"/>
          <w:rtl/>
        </w:rPr>
        <w:t xml:space="preserve">בבואו להכריע בבקשה להמרת עיקול, על בית המשפט לשקול במסגרת שיקוליו את האינטרסים של שני הצדדים. מחד, הנתבע זכאי כי ינהגו כלפיו במידתיות, כך שזכותו של התובע תובטח, אך בדרך ובאופן שקניינו של הנתבע ייפגע במידה המעטה האפשרית (רא' ע"א (חיפה) 239/93 </w:t>
      </w:r>
      <w:r>
        <w:rPr>
          <w:rFonts w:ascii="David" w:hAnsi="David"/>
          <w:b/>
          <w:bCs/>
          <w:noProof w:val="0"/>
          <w:rtl/>
        </w:rPr>
        <w:t>סחר ושירותי ים בע"מ נ' חב' שלום</w:t>
      </w:r>
      <w:r w:rsidR="00DE5D8D">
        <w:rPr>
          <w:rFonts w:ascii="David" w:hAnsi="David" w:hint="cs"/>
          <w:noProof w:val="0"/>
          <w:rtl/>
        </w:rPr>
        <w:t>, פורסם בנבו (13.2.1995)</w:t>
      </w:r>
      <w:r>
        <w:rPr>
          <w:rFonts w:ascii="David" w:hAnsi="David"/>
          <w:noProof w:val="0"/>
          <w:rtl/>
        </w:rPr>
        <w:t>), ומנגד, על בית המשפט לבחון האם הבטוחה החלופית המוצעת היא בטוחה טובה דיה.</w:t>
      </w:r>
    </w:p>
    <w:p w:rsidR="00A07510" w:rsidRDefault="00A07510" w:rsidP="00A07510">
      <w:pPr>
        <w:spacing w:line="360" w:lineRule="auto"/>
        <w:ind w:left="1269" w:hanging="709"/>
        <w:jc w:val="both"/>
        <w:rPr>
          <w:rFonts w:ascii="David" w:hAnsi="David"/>
          <w:noProof w:val="0"/>
          <w:rtl/>
        </w:rPr>
      </w:pPr>
    </w:p>
    <w:p w:rsidR="00A07510" w:rsidRDefault="00A07510" w:rsidP="009F16EC">
      <w:pPr>
        <w:spacing w:line="360" w:lineRule="auto"/>
        <w:ind w:left="1269" w:hanging="709"/>
        <w:jc w:val="both"/>
        <w:rPr>
          <w:rFonts w:ascii="David" w:hAnsi="David"/>
          <w:rtl/>
        </w:rPr>
      </w:pPr>
      <w:r>
        <w:rPr>
          <w:rFonts w:ascii="David" w:hAnsi="David"/>
          <w:rtl/>
        </w:rPr>
        <w:t>4.4</w:t>
      </w:r>
      <w:r>
        <w:rPr>
          <w:rFonts w:ascii="David" w:hAnsi="David"/>
          <w:rtl/>
        </w:rPr>
        <w:tab/>
        <w:t xml:space="preserve">הקביעה אם הבטוחה החלופית היא בטוחה טובה דיה לא נעשית בהכרח על פי שוויה של בטוחה זו ביחס לנכס המעוקל או ביחס לסכום התביעה. לעניין זה </w:t>
      </w:r>
      <w:r w:rsidR="00C81126">
        <w:rPr>
          <w:rFonts w:ascii="David" w:hAnsi="David"/>
          <w:noProof w:val="0"/>
          <w:rtl/>
        </w:rPr>
        <w:t>רא' דברי כבוד השופט גולדברג, ב</w:t>
      </w:r>
      <w:r w:rsidR="009F16EC">
        <w:rPr>
          <w:rFonts w:ascii="David" w:hAnsi="David"/>
          <w:noProof w:val="0"/>
          <w:rtl/>
        </w:rPr>
        <w:t>רע"א 7279/97</w:t>
      </w:r>
      <w:r>
        <w:rPr>
          <w:rFonts w:ascii="David" w:hAnsi="David"/>
          <w:b/>
          <w:bCs/>
          <w:noProof w:val="0"/>
          <w:rtl/>
        </w:rPr>
        <w:t xml:space="preserve"> הבנק הלאומי השויצרי אמריקאי נ' צרפתי מוריס</w:t>
      </w:r>
      <w:r w:rsidR="009F16EC">
        <w:rPr>
          <w:rFonts w:ascii="David" w:hAnsi="David"/>
          <w:noProof w:val="0"/>
        </w:rPr>
        <w:t xml:space="preserve">' </w:t>
      </w:r>
      <w:r w:rsidR="009F16EC">
        <w:rPr>
          <w:rFonts w:ascii="David" w:hAnsi="David" w:hint="cs"/>
          <w:noProof w:val="0"/>
          <w:rtl/>
        </w:rPr>
        <w:t>פורסם בנבו (19.1.1998):</w:t>
      </w:r>
    </w:p>
    <w:p w:rsidR="00A07510" w:rsidRDefault="00A07510" w:rsidP="00A07510">
      <w:pPr>
        <w:shd w:val="clear" w:color="auto" w:fill="FFFFFF"/>
        <w:spacing w:before="100" w:beforeAutospacing="1" w:after="100" w:afterAutospacing="1" w:line="360" w:lineRule="auto"/>
        <w:ind w:left="1977" w:right="709"/>
        <w:jc w:val="both"/>
        <w:rPr>
          <w:rFonts w:ascii="David" w:hAnsi="David"/>
          <w:b/>
          <w:bCs/>
          <w:noProof w:val="0"/>
          <w:rtl/>
        </w:rPr>
      </w:pPr>
      <w:r>
        <w:rPr>
          <w:rFonts w:ascii="David" w:hAnsi="David"/>
          <w:b/>
          <w:bCs/>
          <w:noProof w:val="0"/>
        </w:rPr>
        <w:t>"</w:t>
      </w:r>
      <w:r>
        <w:rPr>
          <w:rFonts w:ascii="David" w:hAnsi="David"/>
          <w:b/>
          <w:bCs/>
          <w:noProof w:val="0"/>
          <w:rtl/>
        </w:rPr>
        <w:t>נקודת המוצא היא כי אין למבקש זכות מוקנית להקפיא דווקא נכס פלוני שעיקלו, אם מובאת לידיהם בטוחה חלופית טובה אחרת. אולם, אין בית המשפט חייב להעתר לבקשת המרת בטוחה, אם הבטוחה החלופית שהוצעה להבטחת החוב, איננה נותנת לבעל הדין בטחון מספק (ובענין זה ראה ע"א 272/71 בן דוד נ' החברה לתפעול וניהול ספורט בע"מ פ"ד כ"ו (97 (2), וכן זוסמן "סדר הדין האזרחי" (מהדורה שביעית) עמ' 581). לא למותר לציין כי יעילות הבטוחה החלופית לא נמדדת ביחס שווי לנכס המעוקל, ולא ביחס לסכום התובענה</w:t>
      </w:r>
      <w:r>
        <w:rPr>
          <w:rFonts w:ascii="David" w:hAnsi="David"/>
          <w:b/>
          <w:bCs/>
          <w:noProof w:val="0"/>
        </w:rPr>
        <w:t>."</w:t>
      </w:r>
    </w:p>
    <w:p w:rsidR="00A07510" w:rsidRDefault="00A07510" w:rsidP="00A07510">
      <w:pPr>
        <w:spacing w:line="360" w:lineRule="auto"/>
        <w:ind w:left="1269" w:hanging="709"/>
        <w:jc w:val="both"/>
        <w:rPr>
          <w:rFonts w:ascii="David" w:hAnsi="David"/>
          <w:noProof w:val="0"/>
          <w:rtl/>
        </w:rPr>
      </w:pPr>
      <w:r>
        <w:rPr>
          <w:rFonts w:ascii="David" w:hAnsi="David"/>
          <w:noProof w:val="0"/>
          <w:rtl/>
        </w:rPr>
        <w:t>4.5</w:t>
      </w:r>
      <w:r>
        <w:rPr>
          <w:rFonts w:ascii="David" w:hAnsi="David"/>
          <w:noProof w:val="0"/>
          <w:rtl/>
        </w:rPr>
        <w:tab/>
        <w:t>טיב הבטוחה נמדד הן על פי שוויה והן על פי האפשרות להיפרע ממנה בבוא היום. ובמה דברים אמורים? בטוחה שמימושה קל ומהיר תחשב כטובה יותר מבטוחה אשר על מנת להיפרע ממנה יהא על התובע, ככל שיזכה בתביעתו, לנקוט בהליכים ארוכים ומכבידים, אשר יעלו לו ממון רב וידחו את המועד שבו יוכל ליהנות מפירות זכייתו.</w:t>
      </w:r>
    </w:p>
    <w:p w:rsidR="00A07510" w:rsidRDefault="00A07510" w:rsidP="00A07510">
      <w:pPr>
        <w:spacing w:line="360" w:lineRule="auto"/>
        <w:ind w:left="1269" w:hanging="709"/>
        <w:jc w:val="both"/>
        <w:rPr>
          <w:rFonts w:ascii="David" w:hAnsi="David"/>
          <w:noProof w:val="0"/>
          <w:rtl/>
        </w:rPr>
      </w:pPr>
    </w:p>
    <w:p w:rsidR="00A07510" w:rsidRPr="00A07510" w:rsidRDefault="00A07510" w:rsidP="00A07510">
      <w:pPr>
        <w:spacing w:line="360" w:lineRule="auto"/>
        <w:ind w:left="1269" w:hanging="709"/>
        <w:jc w:val="both"/>
        <w:rPr>
          <w:rFonts w:ascii="David" w:hAnsi="David"/>
          <w:noProof w:val="0"/>
          <w:rtl/>
        </w:rPr>
      </w:pPr>
      <w:r>
        <w:rPr>
          <w:rFonts w:ascii="David" w:hAnsi="David"/>
          <w:noProof w:val="0"/>
          <w:rtl/>
        </w:rPr>
        <w:t>4.6</w:t>
      </w:r>
      <w:r>
        <w:rPr>
          <w:rFonts w:ascii="David" w:hAnsi="David"/>
          <w:noProof w:val="0"/>
          <w:rtl/>
        </w:rPr>
        <w:tab/>
      </w:r>
      <w:r>
        <w:rPr>
          <w:rFonts w:ascii="David" w:hAnsi="David"/>
          <w:rtl/>
        </w:rPr>
        <w:t xml:space="preserve">כשנתבע מבקש להמיר כספים מזומנים שעוקלו כנגד עיקול על זכויות מקרקעין הרשומות על שמו, במקרה כזה, המדובר בחלופה טובה פחות, שהרי </w:t>
      </w:r>
      <w:r>
        <w:rPr>
          <w:rFonts w:ascii="David" w:eastAsia="MS Mincho" w:hAnsi="David"/>
          <w:rtl/>
        </w:rPr>
        <w:t xml:space="preserve">ביצוע פסק-דין כספי על דרך מכירת הבית המעוקל של הנתבע היא דרך ארוכה למימוש החוב שנפסק לטובת התובע, להבדיל מהדרך של עיקול כספי הנתבע שבידי צד שלישי. </w:t>
      </w:r>
      <w:r>
        <w:rPr>
          <w:rFonts w:ascii="David" w:hAnsi="David"/>
          <w:noProof w:val="0"/>
          <w:rtl/>
        </w:rPr>
        <w:t xml:space="preserve">לכן, ערבות </w:t>
      </w:r>
      <w:r w:rsidRPr="00A07510">
        <w:rPr>
          <w:rFonts w:ascii="David" w:hAnsi="David"/>
          <w:noProof w:val="0"/>
          <w:rtl/>
        </w:rPr>
        <w:t>בנקאית או עיקול כספי הנתבע המצויים בידי צד ג' עדיפים על עיקול נכס (</w:t>
      </w:r>
      <w:r w:rsidRPr="00A07510">
        <w:rPr>
          <w:rFonts w:ascii="David" w:hAnsi="David"/>
          <w:rtl/>
        </w:rPr>
        <w:t xml:space="preserve">רא' </w:t>
      </w:r>
      <w:hyperlink r:id="rId8" w:history="1">
        <w:r w:rsidRPr="00A07510">
          <w:rPr>
            <w:rStyle w:val="Hyperlink"/>
            <w:rFonts w:eastAsia="Calibri"/>
            <w:color w:val="auto"/>
            <w:u w:val="none"/>
            <w:rtl/>
          </w:rPr>
          <w:t xml:space="preserve">רע"א </w:t>
        </w:r>
        <w:r w:rsidRPr="00A07510">
          <w:rPr>
            <w:rStyle w:val="Hyperlink"/>
            <w:rFonts w:eastAsia="Calibri"/>
            <w:color w:val="auto"/>
            <w:u w:val="none"/>
            <w:rtl/>
          </w:rPr>
          <w:lastRenderedPageBreak/>
          <w:t>1554/16</w:t>
        </w:r>
      </w:hyperlink>
      <w:r w:rsidRPr="00A07510">
        <w:rPr>
          <w:rFonts w:eastAsia="Calibri"/>
          <w:b/>
          <w:bCs/>
          <w:rtl/>
        </w:rPr>
        <w:t xml:space="preserve"> י.ש.</w:t>
      </w:r>
      <w:r>
        <w:rPr>
          <w:rFonts w:eastAsia="Calibri" w:hint="cs"/>
          <w:b/>
          <w:bCs/>
          <w:rtl/>
        </w:rPr>
        <w:t xml:space="preserve"> </w:t>
      </w:r>
      <w:r w:rsidRPr="00A07510">
        <w:rPr>
          <w:rFonts w:eastAsia="Calibri"/>
          <w:b/>
          <w:bCs/>
          <w:rtl/>
        </w:rPr>
        <w:t xml:space="preserve">אבן ישראל בע"מ נ' ראובן שולמן ואח', </w:t>
      </w:r>
      <w:r w:rsidRPr="00A07510">
        <w:rPr>
          <w:rFonts w:eastAsia="Calibri"/>
          <w:rtl/>
        </w:rPr>
        <w:t>פורסם בנבו (</w:t>
      </w:r>
      <w:r w:rsidRPr="00A07510">
        <w:rPr>
          <w:rFonts w:ascii="David" w:hAnsi="David"/>
          <w:rtl/>
        </w:rPr>
        <w:t xml:space="preserve">5.6.2016) ; עו"ד משה קשת, </w:t>
      </w:r>
      <w:r w:rsidRPr="00A07510">
        <w:rPr>
          <w:rFonts w:ascii="David" w:hAnsi="David"/>
          <w:b/>
          <w:bCs/>
          <w:rtl/>
        </w:rPr>
        <w:t>הזכויות הדיוניות וסדר הדין במשפט האזרחי הלכה למעשה</w:t>
      </w:r>
      <w:r w:rsidRPr="00A07510">
        <w:rPr>
          <w:rFonts w:ascii="David" w:hAnsi="David"/>
          <w:rtl/>
        </w:rPr>
        <w:t xml:space="preserve"> מהדורה 15 כרך ב' – עמ' 870). </w:t>
      </w:r>
    </w:p>
    <w:p w:rsidR="00A07510" w:rsidRDefault="00A07510" w:rsidP="00A07510">
      <w:pPr>
        <w:spacing w:line="360" w:lineRule="auto"/>
        <w:jc w:val="both"/>
        <w:rPr>
          <w:rFonts w:eastAsia="MS Mincho"/>
          <w:rtl/>
        </w:rPr>
      </w:pPr>
    </w:p>
    <w:p w:rsidR="00A07510" w:rsidRPr="00A07510" w:rsidRDefault="00A07510" w:rsidP="001250AF">
      <w:pPr>
        <w:spacing w:line="360" w:lineRule="auto"/>
        <w:ind w:left="1269" w:hanging="709"/>
        <w:jc w:val="both"/>
        <w:rPr>
          <w:rFonts w:ascii="David" w:hAnsi="David"/>
          <w:rtl/>
        </w:rPr>
      </w:pPr>
      <w:r w:rsidRPr="00A07510">
        <w:rPr>
          <w:rFonts w:ascii="David" w:eastAsia="MS Mincho" w:hAnsi="David"/>
          <w:rtl/>
        </w:rPr>
        <w:t>4.7</w:t>
      </w:r>
      <w:r w:rsidRPr="00A07510">
        <w:rPr>
          <w:rFonts w:ascii="David" w:eastAsia="MS Mincho" w:hAnsi="David"/>
          <w:rtl/>
        </w:rPr>
        <w:tab/>
        <w:t xml:space="preserve">לפיכך, כאשר מבקשים להמיר עיקול על כספים בעיקול על זכויות במקרקעין, לא חלה ההלכה לפיה אין לתובע זכות קנויה לרצות בעיקול נכס מסוים דווקא (רא' </w:t>
      </w:r>
      <w:r w:rsidRPr="00A07510">
        <w:rPr>
          <w:rFonts w:ascii="David" w:hAnsi="David"/>
          <w:rtl/>
        </w:rPr>
        <w:t xml:space="preserve">ע"א 272/71 </w:t>
      </w:r>
      <w:r w:rsidRPr="00A07510">
        <w:rPr>
          <w:rFonts w:ascii="David" w:hAnsi="David"/>
          <w:b/>
          <w:bCs/>
          <w:rtl/>
        </w:rPr>
        <w:t>בן דוד נ' החברה  לתפעול וניהול הימורי ספורט בע"מ</w:t>
      </w:r>
      <w:r w:rsidRPr="00A07510">
        <w:rPr>
          <w:rFonts w:ascii="David" w:hAnsi="David"/>
          <w:rtl/>
        </w:rPr>
        <w:t xml:space="preserve"> פ"ד כו (2) 97, 103), ובמצב הדברים הרגיל, </w:t>
      </w:r>
      <w:r w:rsidRPr="00A07510">
        <w:rPr>
          <w:rFonts w:eastAsia="Calibri"/>
          <w:rtl/>
        </w:rPr>
        <w:t>בית המשפט ידחה בקשה להמיר עיקול על כספים ב</w:t>
      </w:r>
      <w:r w:rsidR="006D7508">
        <w:rPr>
          <w:rFonts w:eastAsia="Calibri" w:hint="cs"/>
          <w:rtl/>
        </w:rPr>
        <w:t xml:space="preserve">עיקול על </w:t>
      </w:r>
      <w:r w:rsidR="001250AF">
        <w:rPr>
          <w:rFonts w:eastAsia="Calibri"/>
          <w:rtl/>
        </w:rPr>
        <w:t>נכס</w:t>
      </w:r>
      <w:r w:rsidR="001250AF">
        <w:rPr>
          <w:rFonts w:eastAsia="Calibri" w:hint="cs"/>
          <w:rtl/>
        </w:rPr>
        <w:t xml:space="preserve">, בעוד שייעתר </w:t>
      </w:r>
      <w:r w:rsidRPr="00A07510">
        <w:rPr>
          <w:rFonts w:eastAsia="Calibri"/>
          <w:rtl/>
        </w:rPr>
        <w:t>לבקשה להמיר עיקול על נכס בהפקדה כספית (רא</w:t>
      </w:r>
      <w:r>
        <w:rPr>
          <w:rFonts w:eastAsia="Calibri"/>
          <w:rtl/>
        </w:rPr>
        <w:t>' פסקה 7 לפסק דינו של כב' השופט</w:t>
      </w:r>
      <w:r w:rsidRPr="00A07510">
        <w:rPr>
          <w:rFonts w:eastAsia="Calibri"/>
          <w:rtl/>
        </w:rPr>
        <w:t xml:space="preserve"> י. עמית ב</w:t>
      </w:r>
      <w:hyperlink r:id="rId9" w:history="1">
        <w:r w:rsidRPr="00A07510">
          <w:rPr>
            <w:rStyle w:val="Hyperlink"/>
            <w:rFonts w:eastAsia="Calibri"/>
            <w:color w:val="auto"/>
            <w:u w:val="none"/>
            <w:rtl/>
          </w:rPr>
          <w:t>רע"א 1554/16</w:t>
        </w:r>
      </w:hyperlink>
      <w:r w:rsidRPr="00A07510">
        <w:rPr>
          <w:rFonts w:eastAsia="Calibri"/>
          <w:b/>
          <w:bCs/>
          <w:rtl/>
        </w:rPr>
        <w:t xml:space="preserve"> י.ש.</w:t>
      </w:r>
      <w:r>
        <w:rPr>
          <w:rFonts w:eastAsia="Calibri" w:hint="cs"/>
          <w:b/>
          <w:bCs/>
          <w:rtl/>
        </w:rPr>
        <w:t xml:space="preserve"> </w:t>
      </w:r>
      <w:r w:rsidRPr="00A07510">
        <w:rPr>
          <w:rFonts w:eastAsia="Calibri"/>
          <w:b/>
          <w:bCs/>
          <w:rtl/>
        </w:rPr>
        <w:t xml:space="preserve">אבן ישראל בע"מ נ' ראובן שולמן ואח', </w:t>
      </w:r>
      <w:r w:rsidRPr="00A07510">
        <w:rPr>
          <w:rFonts w:eastAsia="Calibri"/>
          <w:rtl/>
        </w:rPr>
        <w:t>פורסם בנבו (</w:t>
      </w:r>
      <w:r w:rsidRPr="00A07510">
        <w:rPr>
          <w:rFonts w:ascii="David" w:hAnsi="David"/>
          <w:rtl/>
        </w:rPr>
        <w:t>5.6.2016)).</w:t>
      </w:r>
    </w:p>
    <w:p w:rsidR="00A07510" w:rsidRDefault="00A07510" w:rsidP="00A07510">
      <w:pPr>
        <w:spacing w:line="360" w:lineRule="auto"/>
        <w:ind w:right="709"/>
        <w:jc w:val="both"/>
        <w:rPr>
          <w:rFonts w:ascii="David" w:hAnsi="David"/>
          <w:b/>
          <w:bCs/>
          <w:rtl/>
        </w:rPr>
      </w:pPr>
    </w:p>
    <w:p w:rsidR="00A07510" w:rsidRDefault="00A07510" w:rsidP="00A07510">
      <w:pPr>
        <w:spacing w:line="360" w:lineRule="auto"/>
        <w:ind w:left="1269" w:hanging="709"/>
        <w:jc w:val="both"/>
        <w:rPr>
          <w:rFonts w:ascii="David" w:hAnsi="David"/>
          <w:rtl/>
        </w:rPr>
      </w:pPr>
      <w:r>
        <w:rPr>
          <w:rFonts w:ascii="David" w:hAnsi="David"/>
          <w:rtl/>
        </w:rPr>
        <w:t>4.8</w:t>
      </w:r>
      <w:r>
        <w:rPr>
          <w:rFonts w:ascii="David" w:hAnsi="David"/>
          <w:rtl/>
        </w:rPr>
        <w:tab/>
        <w:t>הקווים המנחים להכרעה בבקשה להמרת עיקול תוארו בפסק הדין בתיק ע"א (מחוזי ת"א) 862/79</w:t>
      </w:r>
      <w:r>
        <w:rPr>
          <w:rFonts w:ascii="David" w:hAnsi="David"/>
          <w:b/>
          <w:bCs/>
        </w:rPr>
        <w:t xml:space="preserve"> </w:t>
      </w:r>
      <w:r>
        <w:rPr>
          <w:rFonts w:ascii="David" w:hAnsi="David"/>
          <w:b/>
          <w:bCs/>
          <w:rtl/>
        </w:rPr>
        <w:t>ד"ר חביב לוי ואח'</w:t>
      </w:r>
      <w:r>
        <w:rPr>
          <w:rFonts w:ascii="David" w:hAnsi="David"/>
          <w:b/>
          <w:bCs/>
        </w:rPr>
        <w:t xml:space="preserve"> </w:t>
      </w:r>
      <w:r>
        <w:rPr>
          <w:rFonts w:ascii="David" w:hAnsi="David"/>
          <w:b/>
          <w:bCs/>
          <w:rtl/>
        </w:rPr>
        <w:t xml:space="preserve">נ' </w:t>
      </w:r>
      <w:r>
        <w:rPr>
          <w:rFonts w:ascii="David" w:hAnsi="David"/>
          <w:b/>
          <w:bCs/>
        </w:rPr>
        <w:t>kludi armaturen paul schffer</w:t>
      </w:r>
      <w:r>
        <w:rPr>
          <w:rFonts w:ascii="David" w:hAnsi="David"/>
          <w:rtl/>
        </w:rPr>
        <w:t>, פורסם בנבו (31.12.1979), באופן הבא:</w:t>
      </w:r>
    </w:p>
    <w:p w:rsidR="00A07510" w:rsidRDefault="00A07510" w:rsidP="00A07510">
      <w:pPr>
        <w:spacing w:line="360" w:lineRule="auto"/>
        <w:ind w:left="1977" w:right="1418"/>
        <w:jc w:val="both"/>
        <w:rPr>
          <w:rFonts w:ascii="David" w:hAnsi="David"/>
          <w:b/>
          <w:bCs/>
          <w:rtl/>
        </w:rPr>
      </w:pPr>
    </w:p>
    <w:p w:rsidR="00A07510" w:rsidRDefault="00A07510" w:rsidP="00A07510">
      <w:pPr>
        <w:spacing w:line="360" w:lineRule="auto"/>
        <w:ind w:left="1977" w:right="709"/>
        <w:jc w:val="both"/>
        <w:rPr>
          <w:b/>
          <w:bCs/>
          <w:rtl/>
        </w:rPr>
      </w:pPr>
      <w:r>
        <w:rPr>
          <w:b/>
          <w:bCs/>
          <w:rtl/>
        </w:rPr>
        <w:t>"מקום שיש בפריטי נכסים, מקרקעין כמטלטלין, כדי הבטחת פרעון החוב, אין לבעל החוב זכות קנויה לרצות בעיקול נכס מסויים דווקא, תוך הכבדה שלא לצורך על החיוב. כנגד זה, מקום שהברירה היא בין עיקול מזומנים, ללא צורך מימוש נכסים, לבין עיקול נכסים שיש לרדת אליהם ולממשם על דרך של מכירה, יש לו לבעל החוב זכות לעקל ממון דווקא. ואילו מקום שהברירה היא בין עיקול נכסים הנוחים למימוש לבין נכסים פחות נוחים מימוש, העניין מסור לאומד הדעת, ובלבד שאומד-הדעת מתגדר באמות-מידה סבירות ולא מפליגות בחומרתן...</w:t>
      </w:r>
    </w:p>
    <w:p w:rsidR="00A07510" w:rsidRDefault="00A07510" w:rsidP="00A07510">
      <w:pPr>
        <w:spacing w:line="360" w:lineRule="auto"/>
        <w:ind w:left="1977" w:right="709"/>
        <w:jc w:val="both"/>
        <w:rPr>
          <w:b/>
          <w:bCs/>
          <w:rtl/>
        </w:rPr>
      </w:pPr>
    </w:p>
    <w:p w:rsidR="00A07510" w:rsidRDefault="00A07510" w:rsidP="00A07510">
      <w:pPr>
        <w:spacing w:line="360" w:lineRule="auto"/>
        <w:ind w:left="1977" w:right="709"/>
        <w:jc w:val="both"/>
        <w:rPr>
          <w:b/>
          <w:bCs/>
          <w:rtl/>
        </w:rPr>
      </w:pPr>
      <w:r>
        <w:rPr>
          <w:b/>
          <w:bCs/>
          <w:rtl/>
        </w:rPr>
        <w:t>נוחות המימוש של נכסים מעוקלים היא מן הדברים שאין להם שיעור. טרם נוצרו הכלים למדידתה, ואם יבוא בית-המשפט לשקול במאזנים נוחות מימושו של נכס אחד לעומת נכס אחר, ייקלע למסכת שאין לה סוף ושתשבש מלאכת העיקול, לרעתם של חייבים ובעלי חוב גם יחד</w:t>
      </w:r>
      <w:r>
        <w:rPr>
          <w:b/>
          <w:bCs/>
        </w:rPr>
        <w:t xml:space="preserve">. </w:t>
      </w:r>
      <w:r>
        <w:rPr>
          <w:b/>
          <w:bCs/>
          <w:rtl/>
        </w:rPr>
        <w:t>משום "תקנת השוק" אין להיזקק לאבחנות כאלה בעיקול נכסים"</w:t>
      </w:r>
      <w:r>
        <w:rPr>
          <w:b/>
          <w:bCs/>
        </w:rPr>
        <w:t>.</w:t>
      </w:r>
    </w:p>
    <w:p w:rsidR="00A07510" w:rsidRDefault="00A07510" w:rsidP="00A07510">
      <w:pPr>
        <w:spacing w:line="360" w:lineRule="auto"/>
        <w:jc w:val="both"/>
        <w:rPr>
          <w:rFonts w:ascii="David" w:hAnsi="David"/>
          <w:b/>
          <w:bCs/>
          <w:rtl/>
        </w:rPr>
      </w:pPr>
    </w:p>
    <w:p w:rsidR="00A07510" w:rsidRDefault="00A07510" w:rsidP="00A07510">
      <w:pPr>
        <w:spacing w:line="360" w:lineRule="auto"/>
        <w:ind w:left="1440" w:hanging="880"/>
        <w:jc w:val="both"/>
        <w:rPr>
          <w:rFonts w:eastAsia="Calibri"/>
          <w:rtl/>
        </w:rPr>
      </w:pPr>
    </w:p>
    <w:p w:rsidR="00A07510" w:rsidRDefault="00A07510" w:rsidP="0021196E">
      <w:pPr>
        <w:spacing w:line="360" w:lineRule="auto"/>
        <w:ind w:left="1440" w:hanging="880"/>
        <w:jc w:val="both"/>
        <w:rPr>
          <w:rFonts w:ascii="David" w:hAnsi="David"/>
          <w:rtl/>
        </w:rPr>
      </w:pPr>
      <w:r>
        <w:rPr>
          <w:rFonts w:eastAsia="Calibri"/>
          <w:rtl/>
        </w:rPr>
        <w:lastRenderedPageBreak/>
        <w:t>4.</w:t>
      </w:r>
      <w:r w:rsidR="0024181C">
        <w:rPr>
          <w:rFonts w:eastAsia="Calibri" w:hint="cs"/>
          <w:rtl/>
        </w:rPr>
        <w:t>9</w:t>
      </w:r>
      <w:r>
        <w:rPr>
          <w:rFonts w:ascii="David" w:hAnsi="David"/>
          <w:rtl/>
        </w:rPr>
        <w:tab/>
        <w:t>במקרה דנא, מבוקש להמיר עיקול בסך של 1,767,000 ₪, שהוטל על כספי מכר דירת המבקש, בעיקול באותו סכום על הזכויות הרשומות על שם אם המבקש בבית המגורים שבבעלותה ביישוב ר</w:t>
      </w:r>
      <w:r w:rsidR="0021196E">
        <w:rPr>
          <w:rFonts w:ascii="David" w:hAnsi="David" w:hint="cs"/>
          <w:rtl/>
        </w:rPr>
        <w:t>'</w:t>
      </w:r>
      <w:r>
        <w:rPr>
          <w:rFonts w:ascii="David" w:hAnsi="David"/>
          <w:rtl/>
        </w:rPr>
        <w:t xml:space="preserve">. על זכויות אם המבקש בבית רשומה משכנתא בסך של  4,350,000 ₪ ועל פי חוות דעת השמאי, שווי בית האם עומד על  כ- 12,000,000 ₪. </w:t>
      </w:r>
    </w:p>
    <w:p w:rsidR="00A07510" w:rsidRDefault="00A07510" w:rsidP="00A07510">
      <w:pPr>
        <w:spacing w:line="360" w:lineRule="auto"/>
        <w:ind w:left="1440" w:hanging="880"/>
        <w:jc w:val="both"/>
        <w:rPr>
          <w:rFonts w:ascii="David" w:hAnsi="David"/>
          <w:rtl/>
        </w:rPr>
      </w:pPr>
    </w:p>
    <w:p w:rsidR="0024181C" w:rsidRDefault="00A07510" w:rsidP="0024181C">
      <w:pPr>
        <w:spacing w:line="360" w:lineRule="auto"/>
        <w:ind w:left="1440" w:hanging="880"/>
        <w:jc w:val="both"/>
        <w:rPr>
          <w:rFonts w:ascii="David" w:hAnsi="David"/>
          <w:noProof w:val="0"/>
          <w:rtl/>
        </w:rPr>
      </w:pPr>
      <w:r>
        <w:rPr>
          <w:rFonts w:ascii="David" w:hAnsi="David"/>
          <w:rtl/>
        </w:rPr>
        <w:t>4.1</w:t>
      </w:r>
      <w:r w:rsidR="0024181C">
        <w:rPr>
          <w:rFonts w:ascii="David" w:hAnsi="David" w:hint="cs"/>
          <w:rtl/>
        </w:rPr>
        <w:t>0</w:t>
      </w:r>
      <w:r>
        <w:rPr>
          <w:rFonts w:ascii="David" w:hAnsi="David"/>
          <w:rtl/>
        </w:rPr>
        <w:tab/>
        <w:t xml:space="preserve">אף שדי בשווי הבית כדי להבטיח את סכום העיקול, וזאת גם לאחר כיסוי המשכנתא, אין ספק כי מימוש העיקול על הבית יצריך את מכירתו וכי גם במקרה שבו המבקש ו/או אמו </w:t>
      </w:r>
      <w:r w:rsidR="00CD0981">
        <w:rPr>
          <w:rFonts w:ascii="David" w:hAnsi="David"/>
          <w:rtl/>
        </w:rPr>
        <w:t>לא יערימו קשיים בביצוע המכירה</w:t>
      </w:r>
      <w:r w:rsidR="0065161F">
        <w:rPr>
          <w:rFonts w:ascii="David" w:hAnsi="David" w:hint="cs"/>
          <w:rtl/>
        </w:rPr>
        <w:t xml:space="preserve"> (ואין כל וודאות כי כך אכן יהיה)</w:t>
      </w:r>
      <w:r w:rsidR="00CD0981">
        <w:rPr>
          <w:rFonts w:ascii="David" w:hAnsi="David"/>
          <w:rtl/>
        </w:rPr>
        <w:t xml:space="preserve">, </w:t>
      </w:r>
      <w:r>
        <w:rPr>
          <w:rFonts w:ascii="David" w:hAnsi="David"/>
          <w:rtl/>
        </w:rPr>
        <w:t xml:space="preserve">מימוש נכס זה עלול להצריך הליכים ארוכים ומכבידים מצדם של המשיבים, </w:t>
      </w:r>
      <w:r>
        <w:rPr>
          <w:rFonts w:ascii="David" w:hAnsi="David"/>
          <w:noProof w:val="0"/>
          <w:rtl/>
        </w:rPr>
        <w:t xml:space="preserve">הכרוכים בהוצאות כספיות  ובדחיית המועד שבו יוכלו ליהנות מפרי זכייתם (ככל שאומנם תתקבל תביעתם). </w:t>
      </w:r>
    </w:p>
    <w:p w:rsidR="0024181C" w:rsidRDefault="0024181C" w:rsidP="0024181C">
      <w:pPr>
        <w:spacing w:line="360" w:lineRule="auto"/>
        <w:ind w:left="1440" w:hanging="880"/>
        <w:jc w:val="both"/>
        <w:rPr>
          <w:rFonts w:ascii="David" w:hAnsi="David"/>
          <w:noProof w:val="0"/>
          <w:rtl/>
        </w:rPr>
      </w:pPr>
    </w:p>
    <w:p w:rsidR="00A07510" w:rsidRDefault="0024181C" w:rsidP="0024181C">
      <w:pPr>
        <w:spacing w:line="360" w:lineRule="auto"/>
        <w:ind w:left="1440" w:hanging="880"/>
        <w:jc w:val="both"/>
        <w:rPr>
          <w:rFonts w:ascii="David" w:hAnsi="David"/>
          <w:rtl/>
        </w:rPr>
      </w:pPr>
      <w:r>
        <w:rPr>
          <w:rFonts w:ascii="David" w:hAnsi="David" w:hint="cs"/>
          <w:noProof w:val="0"/>
          <w:rtl/>
        </w:rPr>
        <w:t>4.11</w:t>
      </w:r>
      <w:r>
        <w:rPr>
          <w:rFonts w:ascii="David" w:hAnsi="David" w:hint="cs"/>
          <w:noProof w:val="0"/>
          <w:rtl/>
        </w:rPr>
        <w:tab/>
      </w:r>
      <w:r w:rsidR="00A07510">
        <w:rPr>
          <w:rFonts w:ascii="David" w:hAnsi="David"/>
          <w:noProof w:val="0"/>
          <w:rtl/>
        </w:rPr>
        <w:t>עולה מכך, כי המקרקעין המוצעים אינם מהווים חלופה הולמת לעיקול הקיים וכי המרת העיקול מכספי מכר דירת המבקש לזכויות אם המבקש בבית מהווה, מבחינת המשיבים, הרעה משמעותית במצבם.</w:t>
      </w:r>
    </w:p>
    <w:p w:rsidR="00A07510" w:rsidRDefault="00A07510" w:rsidP="00A07510">
      <w:pPr>
        <w:spacing w:line="360" w:lineRule="auto"/>
        <w:ind w:left="1440" w:hanging="880"/>
        <w:jc w:val="both"/>
        <w:rPr>
          <w:rFonts w:ascii="David" w:hAnsi="David"/>
          <w:noProof w:val="0"/>
          <w:rtl/>
        </w:rPr>
      </w:pPr>
    </w:p>
    <w:p w:rsidR="00A07510" w:rsidRDefault="00A07510" w:rsidP="00A07510">
      <w:pPr>
        <w:spacing w:line="360" w:lineRule="auto"/>
        <w:ind w:left="1440" w:hanging="880"/>
        <w:jc w:val="both"/>
        <w:rPr>
          <w:rFonts w:ascii="David" w:hAnsi="David"/>
          <w:noProof w:val="0"/>
          <w:rtl/>
        </w:rPr>
      </w:pPr>
      <w:r>
        <w:rPr>
          <w:rFonts w:ascii="David" w:hAnsi="David"/>
          <w:noProof w:val="0"/>
          <w:rtl/>
        </w:rPr>
        <w:t>4.12</w:t>
      </w:r>
      <w:r>
        <w:rPr>
          <w:rFonts w:ascii="David" w:hAnsi="David"/>
          <w:noProof w:val="0"/>
          <w:rtl/>
        </w:rPr>
        <w:tab/>
        <w:t xml:space="preserve">לא נעלם מעיני כי המשיבים ביקשו מלכתחילה כי צו העיקול יוטל על דירת המבקש וכי בעקבות מכירת דירת המבקש, הוטל העיקול על כספי מכר דירה זו. אולם, בחינת טיב הבטוחה המוצעת צריכה להיעשות ביחס לנכס המעוקל כיום ולא ביחס לנכס שעיקולו התבקש מלכתחילה. זאת ועוד, יש לזכור כי במקרה דנא בקשת המבקש היא להטיל עיקול על זכויות בנכס מקרקעין המצוי בבעלות צד ג' (אם המבקש) - ולא על זכויות נכס מקרקעין המצוי בבעלותו. </w:t>
      </w:r>
    </w:p>
    <w:p w:rsidR="00A07510" w:rsidRDefault="00A07510" w:rsidP="00A07510">
      <w:pPr>
        <w:spacing w:line="360" w:lineRule="auto"/>
        <w:jc w:val="both"/>
        <w:rPr>
          <w:rFonts w:ascii="David" w:hAnsi="David"/>
          <w:noProof w:val="0"/>
          <w:rtl/>
        </w:rPr>
      </w:pPr>
    </w:p>
    <w:p w:rsidR="00A07510" w:rsidRDefault="00A07510" w:rsidP="00A07510">
      <w:pPr>
        <w:spacing w:line="360" w:lineRule="auto"/>
        <w:ind w:left="1440" w:hanging="880"/>
        <w:jc w:val="both"/>
        <w:rPr>
          <w:rFonts w:ascii="David" w:hAnsi="David"/>
          <w:noProof w:val="0"/>
          <w:rtl/>
        </w:rPr>
      </w:pPr>
      <w:r>
        <w:rPr>
          <w:rFonts w:ascii="David" w:hAnsi="David"/>
          <w:noProof w:val="0"/>
          <w:rtl/>
        </w:rPr>
        <w:t>4.13</w:t>
      </w:r>
      <w:r>
        <w:rPr>
          <w:rFonts w:ascii="David" w:hAnsi="David"/>
          <w:noProof w:val="0"/>
          <w:rtl/>
        </w:rPr>
        <w:tab/>
        <w:t>לפיכך, והגם שנתתי דעתי לטענת המבקש כי הוא זקוק לכספים המעוקלים לצורך מימון הוצאותיו השוטפות ולצורך מימון ההתחייבויות שנטל על עצמו, לא ניתן להיעתר לבקשה להמרת העיקול לנוכח אופי הבטוחה החלופית המוצעת.</w:t>
      </w:r>
    </w:p>
    <w:p w:rsidR="00A07510" w:rsidRDefault="00A07510" w:rsidP="00A07510">
      <w:pPr>
        <w:spacing w:line="360" w:lineRule="auto"/>
        <w:jc w:val="both"/>
        <w:rPr>
          <w:rFonts w:ascii="David" w:hAnsi="David"/>
          <w:noProof w:val="0"/>
          <w:rtl/>
        </w:rPr>
      </w:pPr>
    </w:p>
    <w:p w:rsidR="00A07510" w:rsidRDefault="00A07510" w:rsidP="00A07510">
      <w:pPr>
        <w:spacing w:line="360" w:lineRule="auto"/>
        <w:ind w:left="1440" w:hanging="880"/>
        <w:jc w:val="both"/>
        <w:rPr>
          <w:rFonts w:ascii="David" w:hAnsi="David"/>
          <w:noProof w:val="0"/>
          <w:rtl/>
        </w:rPr>
      </w:pPr>
      <w:r>
        <w:rPr>
          <w:rFonts w:ascii="David" w:hAnsi="David"/>
          <w:noProof w:val="0"/>
          <w:rtl/>
        </w:rPr>
        <w:t>4.14</w:t>
      </w:r>
      <w:r>
        <w:rPr>
          <w:rFonts w:ascii="David" w:hAnsi="David"/>
          <w:noProof w:val="0"/>
          <w:rtl/>
        </w:rPr>
        <w:tab/>
        <w:t>לאור כל האמור לעיל, הבקשה להמרת העיקול נדחית.</w:t>
      </w:r>
    </w:p>
    <w:p w:rsidR="00A07510" w:rsidRDefault="00A07510" w:rsidP="00A07510">
      <w:pPr>
        <w:spacing w:line="360" w:lineRule="auto"/>
        <w:ind w:left="1440" w:hanging="880"/>
        <w:jc w:val="both"/>
        <w:rPr>
          <w:rFonts w:ascii="David" w:hAnsi="David"/>
          <w:noProof w:val="0"/>
          <w:rtl/>
        </w:rPr>
      </w:pPr>
      <w:r>
        <w:rPr>
          <w:rFonts w:ascii="David" w:hAnsi="David"/>
          <w:noProof w:val="0"/>
          <w:rtl/>
        </w:rPr>
        <w:t xml:space="preserve"> </w:t>
      </w:r>
    </w:p>
    <w:p w:rsidR="00A07510" w:rsidRDefault="00A07510" w:rsidP="00A07510">
      <w:pPr>
        <w:spacing w:line="360" w:lineRule="auto"/>
        <w:ind w:left="1440" w:hanging="880"/>
        <w:jc w:val="both"/>
        <w:rPr>
          <w:rFonts w:ascii="David" w:hAnsi="David"/>
          <w:noProof w:val="0"/>
          <w:rtl/>
        </w:rPr>
      </w:pPr>
      <w:r>
        <w:rPr>
          <w:rFonts w:ascii="David" w:hAnsi="David"/>
          <w:noProof w:val="0"/>
          <w:rtl/>
        </w:rPr>
        <w:t>4.15</w:t>
      </w:r>
      <w:r>
        <w:rPr>
          <w:rFonts w:ascii="David" w:hAnsi="David"/>
          <w:noProof w:val="0"/>
          <w:rtl/>
        </w:rPr>
        <w:tab/>
        <w:t>אין צו להוצאות.</w:t>
      </w:r>
    </w:p>
    <w:p w:rsidR="00A07510" w:rsidRDefault="00A07510" w:rsidP="00A07510">
      <w:pPr>
        <w:spacing w:line="360" w:lineRule="auto"/>
        <w:jc w:val="both"/>
        <w:rPr>
          <w:rFonts w:ascii="David" w:hAnsi="David"/>
          <w:noProof w:val="0"/>
          <w:rtl/>
        </w:rPr>
      </w:pPr>
    </w:p>
    <w:p w:rsidR="00A07510" w:rsidRDefault="00A07510" w:rsidP="00A07510">
      <w:pPr>
        <w:spacing w:line="360" w:lineRule="auto"/>
        <w:ind w:left="1440" w:hanging="880"/>
        <w:jc w:val="both"/>
        <w:rPr>
          <w:rFonts w:ascii="David" w:hAnsi="David"/>
          <w:noProof w:val="0"/>
          <w:rtl/>
        </w:rPr>
      </w:pPr>
      <w:r>
        <w:rPr>
          <w:rFonts w:ascii="David" w:hAnsi="David"/>
          <w:noProof w:val="0"/>
          <w:rtl/>
        </w:rPr>
        <w:t>4.16</w:t>
      </w:r>
      <w:r>
        <w:rPr>
          <w:rFonts w:ascii="David" w:hAnsi="David"/>
          <w:noProof w:val="0"/>
          <w:rtl/>
        </w:rPr>
        <w:tab/>
        <w:t>החלטה זו ניתנת לפרסום תוך השמטת שמות ופרטים מזהים.</w:t>
      </w:r>
    </w:p>
    <w:p w:rsidR="00A07510" w:rsidRDefault="00A07510" w:rsidP="00A07510">
      <w:pPr>
        <w:spacing w:line="360" w:lineRule="auto"/>
        <w:ind w:left="1440" w:hanging="880"/>
        <w:jc w:val="both"/>
        <w:rPr>
          <w:rFonts w:ascii="David" w:hAnsi="David"/>
          <w:noProof w:val="0"/>
          <w:rtl/>
        </w:rPr>
      </w:pPr>
    </w:p>
    <w:p w:rsidR="00A20002" w:rsidRDefault="00A20002" w:rsidP="00A07510">
      <w:pPr>
        <w:spacing w:line="360" w:lineRule="auto"/>
        <w:ind w:left="1440" w:hanging="880"/>
        <w:jc w:val="both"/>
        <w:rPr>
          <w:rFonts w:ascii="David" w:hAnsi="David"/>
          <w:noProof w:val="0"/>
          <w:rtl/>
        </w:rPr>
      </w:pPr>
    </w:p>
    <w:p w:rsidR="00A20002" w:rsidRDefault="00A20002" w:rsidP="00A07510">
      <w:pPr>
        <w:spacing w:line="360" w:lineRule="auto"/>
        <w:ind w:left="1440" w:hanging="880"/>
        <w:jc w:val="both"/>
        <w:rPr>
          <w:rFonts w:ascii="David" w:hAnsi="David"/>
          <w:noProof w:val="0"/>
          <w:rtl/>
        </w:rPr>
      </w:pPr>
    </w:p>
    <w:p w:rsidR="00A20002" w:rsidRDefault="00A20002" w:rsidP="00A07510">
      <w:pPr>
        <w:spacing w:line="360" w:lineRule="auto"/>
        <w:ind w:left="1440" w:hanging="880"/>
        <w:jc w:val="both"/>
        <w:rPr>
          <w:rFonts w:ascii="David" w:hAnsi="David"/>
          <w:noProof w:val="0"/>
          <w:rtl/>
        </w:rPr>
      </w:pPr>
    </w:p>
    <w:p w:rsidR="00A07510" w:rsidRDefault="00A07510" w:rsidP="00A07510">
      <w:pPr>
        <w:spacing w:line="360" w:lineRule="auto"/>
        <w:ind w:left="1440" w:hanging="880"/>
        <w:jc w:val="both"/>
        <w:rPr>
          <w:rFonts w:ascii="David" w:hAnsi="David"/>
          <w:noProof w:val="0"/>
          <w:rtl/>
        </w:rPr>
      </w:pPr>
      <w:r>
        <w:rPr>
          <w:rFonts w:ascii="David" w:hAnsi="David"/>
          <w:noProof w:val="0"/>
          <w:rtl/>
        </w:rPr>
        <w:t>4.17</w:t>
      </w:r>
      <w:r>
        <w:rPr>
          <w:rFonts w:ascii="David" w:hAnsi="David"/>
          <w:noProof w:val="0"/>
          <w:rtl/>
        </w:rPr>
        <w:tab/>
        <w:t>המזכירות תשלח העתק החלטה זו לצדדים.</w:t>
      </w:r>
    </w:p>
    <w:p w:rsidR="00A07510" w:rsidRDefault="00A07510" w:rsidP="00A07510">
      <w:pPr>
        <w:spacing w:line="360" w:lineRule="auto"/>
        <w:ind w:left="1269" w:hanging="709"/>
        <w:jc w:val="both"/>
        <w:rPr>
          <w:rFonts w:ascii="David" w:hAnsi="David"/>
          <w:sz w:val="22"/>
          <w:szCs w:val="22"/>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כ"ד כסלו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18 דצמבר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9D01FE">
      <w:pPr>
        <w:spacing w:line="360" w:lineRule="auto"/>
        <w:ind w:left="3600" w:firstLine="720"/>
        <w:jc w:val="both"/>
      </w:pPr>
      <w:sdt>
        <w:sdtPr>
          <w:rPr>
            <w:rtl/>
          </w:rPr>
          <w:alias w:val="MergeField"/>
          <w:tag w:val="1237"/>
          <w:id w:val="-1013607235"/>
        </w:sdtPr>
        <w:sdtEndPr/>
        <w:sdtContent>
          <w:r w:rsidR="00B24FCD">
            <w:drawing>
              <wp:inline distT="0" distB="0" distL="0" distR="0" wp14:editId="50D07946">
                <wp:extent cx="1457325"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57325" cy="11811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1FE" w:rsidRDefault="009D01FE">
      <w:r>
        <w:separator/>
      </w:r>
    </w:p>
  </w:endnote>
  <w:endnote w:type="continuationSeparator" w:id="0">
    <w:p w:rsidR="009D01FE" w:rsidRDefault="009D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519" w:rsidRDefault="0089651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D1A3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D1A37">
      <w:rPr>
        <w:rStyle w:val="ab"/>
        <w:rtl/>
      </w:rPr>
      <w:t>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519" w:rsidRDefault="0089651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1FE" w:rsidRDefault="009D01FE">
      <w:r>
        <w:separator/>
      </w:r>
    </w:p>
  </w:footnote>
  <w:footnote w:type="continuationSeparator" w:id="0">
    <w:p w:rsidR="009D01FE" w:rsidRDefault="009D0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519" w:rsidRDefault="0089651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094813" w:rsidP="00FD3BDD">
          <w:pPr>
            <w:rPr>
              <w:b/>
              <w:bCs/>
              <w:noProof w:val="0"/>
              <w:sz w:val="26"/>
              <w:szCs w:val="26"/>
              <w:rtl/>
            </w:rPr>
          </w:pPr>
          <w:r>
            <w:rPr>
              <w:b/>
              <w:bCs/>
              <w:noProof w:val="0"/>
              <w:sz w:val="26"/>
              <w:szCs w:val="26"/>
              <w:rtl/>
            </w:rPr>
            <w:t>תמ"ש</w:t>
          </w:r>
          <w:r w:rsidR="00011212">
            <w:rPr>
              <w:b/>
              <w:bCs/>
              <w:noProof w:val="0"/>
              <w:sz w:val="26"/>
              <w:szCs w:val="26"/>
              <w:rtl/>
            </w:rPr>
            <w:t xml:space="preserve"> </w:t>
          </w:r>
          <w:r>
            <w:rPr>
              <w:b/>
              <w:bCs/>
              <w:noProof w:val="0"/>
              <w:sz w:val="26"/>
              <w:szCs w:val="26"/>
              <w:rtl/>
            </w:rPr>
            <w:t>56913-09-22</w:t>
          </w:r>
          <w:r w:rsidR="00011212">
            <w:rPr>
              <w:b/>
              <w:bCs/>
              <w:noProof w:val="0"/>
              <w:sz w:val="26"/>
              <w:szCs w:val="26"/>
              <w:rtl/>
            </w:rPr>
            <w:t xml:space="preserve"> </w:t>
          </w:r>
          <w:r w:rsidR="002A0D75">
            <w:rPr>
              <w:rFonts w:hint="cs"/>
              <w:b/>
              <w:bCs/>
              <w:noProof w:val="0"/>
              <w:sz w:val="26"/>
              <w:szCs w:val="26"/>
              <w:rtl/>
            </w:rPr>
            <w:t xml:space="preserve"> </w:t>
          </w:r>
          <w:r w:rsidR="00FD3BDD">
            <w:rPr>
              <w:rFonts w:hint="cs"/>
              <w:b/>
              <w:bCs/>
              <w:noProof w:val="0"/>
              <w:sz w:val="26"/>
              <w:szCs w:val="26"/>
              <w:rtl/>
            </w:rPr>
            <w:t>פלוני</w:t>
          </w:r>
          <w:r w:rsidR="002A0D75">
            <w:rPr>
              <w:rFonts w:hint="cs"/>
              <w:b/>
              <w:bCs/>
              <w:noProof w:val="0"/>
              <w:sz w:val="26"/>
              <w:szCs w:val="26"/>
              <w:rtl/>
            </w:rPr>
            <w:t xml:space="preserve"> ואח' </w:t>
          </w:r>
          <w:r w:rsidR="0021196E">
            <w:rPr>
              <w:rFonts w:hint="cs"/>
              <w:b/>
              <w:bCs/>
              <w:noProof w:val="0"/>
              <w:sz w:val="26"/>
              <w:szCs w:val="26"/>
              <w:rtl/>
            </w:rPr>
            <w:t xml:space="preserve">נ' </w:t>
          </w:r>
          <w:r w:rsidR="00FD3BDD">
            <w:rPr>
              <w:rFonts w:hint="cs"/>
              <w:b/>
              <w:bCs/>
              <w:noProof w:val="0"/>
              <w:sz w:val="26"/>
              <w:szCs w:val="26"/>
              <w:rtl/>
            </w:rPr>
            <w:t>אלמוני</w:t>
          </w:r>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519" w:rsidRDefault="008965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03480"/>
    <w:multiLevelType w:val="hybridMultilevel"/>
    <w:tmpl w:val="01847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45F67"/>
    <w:rsid w:val="00094813"/>
    <w:rsid w:val="000E5823"/>
    <w:rsid w:val="001250AF"/>
    <w:rsid w:val="0014058F"/>
    <w:rsid w:val="00193924"/>
    <w:rsid w:val="001E0EB7"/>
    <w:rsid w:val="0021196E"/>
    <w:rsid w:val="0024181C"/>
    <w:rsid w:val="00242BA8"/>
    <w:rsid w:val="002576E7"/>
    <w:rsid w:val="002914D6"/>
    <w:rsid w:val="002A0D75"/>
    <w:rsid w:val="002F5307"/>
    <w:rsid w:val="0030396E"/>
    <w:rsid w:val="0030788A"/>
    <w:rsid w:val="003C2B44"/>
    <w:rsid w:val="003C669B"/>
    <w:rsid w:val="004931B2"/>
    <w:rsid w:val="005026BA"/>
    <w:rsid w:val="00503A57"/>
    <w:rsid w:val="00530E94"/>
    <w:rsid w:val="005F7919"/>
    <w:rsid w:val="0065161F"/>
    <w:rsid w:val="006D1A37"/>
    <w:rsid w:val="006D7508"/>
    <w:rsid w:val="00822AA5"/>
    <w:rsid w:val="00896519"/>
    <w:rsid w:val="008B499E"/>
    <w:rsid w:val="00937922"/>
    <w:rsid w:val="00946045"/>
    <w:rsid w:val="009D01FE"/>
    <w:rsid w:val="009F16EC"/>
    <w:rsid w:val="00A07510"/>
    <w:rsid w:val="00A20002"/>
    <w:rsid w:val="00A372C7"/>
    <w:rsid w:val="00A37E89"/>
    <w:rsid w:val="00A54660"/>
    <w:rsid w:val="00A71DA2"/>
    <w:rsid w:val="00A7661B"/>
    <w:rsid w:val="00A968F8"/>
    <w:rsid w:val="00B24FCD"/>
    <w:rsid w:val="00B31305"/>
    <w:rsid w:val="00B379EC"/>
    <w:rsid w:val="00C226D6"/>
    <w:rsid w:val="00C81126"/>
    <w:rsid w:val="00C94035"/>
    <w:rsid w:val="00CD0981"/>
    <w:rsid w:val="00CE7F78"/>
    <w:rsid w:val="00D412B6"/>
    <w:rsid w:val="00DE5D8D"/>
    <w:rsid w:val="00EC08AF"/>
    <w:rsid w:val="00F45F7B"/>
    <w:rsid w:val="00F50E07"/>
    <w:rsid w:val="00FD3BDD"/>
    <w:rsid w:val="00FF499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Hyperlink">
    <w:name w:val="Hyperlink"/>
    <w:semiHidden/>
    <w:unhideWhenUsed/>
    <w:rsid w:val="00A07510"/>
    <w:rPr>
      <w:color w:val="0000FF"/>
      <w:u w:val="single"/>
    </w:rPr>
  </w:style>
  <w:style w:type="paragraph" w:styleId="ac">
    <w:name w:val="List Paragraph"/>
    <w:basedOn w:val="a"/>
    <w:uiPriority w:val="34"/>
    <w:qFormat/>
    <w:rsid w:val="00A075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94973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101003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nevo.co.il/case/2101003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2108</Words>
  <Characters>10545</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2023-05-03T09:19:00Z</cp:lastPrinted>
  <dcterms:created xsi:type="dcterms:W3CDTF">2023-07-02T09:31:00Z</dcterms:created>
  <dcterms:modified xsi:type="dcterms:W3CDTF">2023-07-02T09:31:00Z</dcterms:modified>
</cp:coreProperties>
</file>